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Phase II Environmental Site Assessment</w:t>
      </w:r>
    </w:p>
    <w:p>
      <w:r>
        <w:t xml:space="preserve">Client: Example Energy Ltd.</w:t>
      </w:r>
    </w:p>
    <w:p>
      <w:r>
        <w:t xml:space="preserve">Site: Example 4D Windy 4-4-49-4</w:t>
      </w:r>
    </w:p>
    <w:p>
      <w:r>
        <w:t xml:space="preserve">UWI: 00/04-04-049-04W4/0</w:t>
      </w:r>
    </w:p>
    <w:p>
      <w:r>
        <w:t xml:space="preserve">Scope: Phase II ESA — well centre and production areas</w:t>
      </w:r>
    </w:p>
    <w:p>
      <w:r>
        <w:t xml:space="preserve">Laboratory: Accredited Environmental Laboratory</w:t>
      </w:r>
    </w:p>
    <w:p>
      <w:r>
        <w:t xml:space="preserve">Prepared by: Ecoventure E2E | 2026-06-08</w:t>
      </w:r>
    </w:p>
    <w:p>
      <w:pPr>
        <w:pStyle w:val="Heading1"/>
      </w:pPr>
      <w:r>
        <w:t>Executive Summary</w:t>
      </w:r>
    </w:p>
    <w:p>
      <w:r>
        <w:t xml:space="preserve">Ecoventure Inc. prepared this Phase II ESA — well centre and production areas report for Example Energy Ltd. at Example 4D Windy 4-4-49-4.</w:t>
        <w:br/>
        <w:t xml:space="preserve"/>
        <w:br/>
        <w:t xml:space="preserve">Laboratory analytical results for 3 sample result row(s) are summarized in the tables below.</w:t>
        <w:br/>
        <w:t xml:space="preserve"/>
        <w:br/>
        <w:t xml:space="preserve">Sample matrices evaluated include: Soil.</w:t>
        <w:br/>
        <w:t xml:space="preserve"/>
        <w:br/>
        <w:t xml:space="preserve">1 parameter(s) exceeded applicable criteria: Benzene.</w:t>
        <w:br/>
        <w:t xml:space="preserve"/>
        <w:br/>
        <w:t xml:space="preserve">Exceedances at well centre warrant risk assessment. No further Phase II off-lease sampling recommended at this time.</w:t>
      </w:r>
    </w:p>
    <w:p>
      <w:r>
        <w:t xml:space="preserve">1 parameter(s) exceeded applicable criteria: Benzene</w:t>
      </w:r>
    </w:p>
    <w:p/>
    <w:p>
      <w:r>
        <w:t>Sample locations: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Sample ID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Matrix</w:t>
            </w:r>
          </w:p>
        </w:tc>
        <w:tc>
          <w:tcPr>
            <w:tcW w:type="dxa" w:w="1728"/>
          </w:tcPr>
          <w:p>
            <w:r>
              <w:t>Depth (m)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</w:tr>
      <w:tr>
        <w:tc>
          <w:tcPr>
            <w:tcW w:type="dxa" w:w="1728"/>
          </w:tcPr>
          <w:p>
            <w:r>
              <w:t xml:space="preserve">BH-01-0.5</w:t>
            </w:r>
          </w:p>
        </w:tc>
        <w:tc>
          <w:tcPr>
            <w:tcW w:type="dxa" w:w="1728"/>
          </w:tcPr>
          <w:p>
            <w:r>
              <w:t xml:space="preserve">Well centre</w:t>
            </w:r>
          </w:p>
        </w:tc>
        <w:tc>
          <w:tcPr>
            <w:tcW w:type="dxa" w:w="1728"/>
          </w:tcPr>
          <w:p>
            <w:r>
              <w:t xml:space="preserve">Soil</w:t>
            </w:r>
          </w:p>
        </w:tc>
        <w:tc>
          <w:tcPr>
            <w:tcW w:type="dxa" w:w="1728"/>
          </w:tcPr>
          <w:p>
            <w:r>
              <w:t xml:space="preserve">0.5</w:t>
            </w:r>
          </w:p>
        </w:tc>
        <w:tc>
          <w:tcPr>
            <w:tcW w:type="dxa" w:w="1728"/>
          </w:tcPr>
          <w:p>
            <w:r>
              <w:t xml:space="preserve">2017-08-15</w:t>
            </w:r>
          </w:p>
        </w:tc>
      </w:tr>
      <w:tr>
        <w:tc>
          <w:tcPr>
            <w:tcW w:type="dxa" w:w="1728"/>
          </w:tcPr>
          <w:p>
            <w:r>
              <w:t xml:space="preserve">BH-02-1.0</w:t>
            </w:r>
          </w:p>
        </w:tc>
        <w:tc>
          <w:tcPr>
            <w:tcW w:type="dxa" w:w="1728"/>
          </w:tcPr>
          <w:p>
            <w:r>
              <w:t xml:space="preserve">Tank berm SE</w:t>
            </w:r>
          </w:p>
        </w:tc>
        <w:tc>
          <w:tcPr>
            <w:tcW w:type="dxa" w:w="1728"/>
          </w:tcPr>
          <w:p>
            <w:r>
              <w:t xml:space="preserve">Soil</w:t>
            </w:r>
          </w:p>
        </w:tc>
        <w:tc>
          <w:tcPr>
            <w:tcW w:type="dxa" w:w="1728"/>
          </w:tcPr>
          <w:p>
            <w:r>
              <w:t xml:space="preserve">1.0</w:t>
            </w:r>
          </w:p>
        </w:tc>
        <w:tc>
          <w:tcPr>
            <w:tcW w:type="dxa" w:w="1728"/>
          </w:tcPr>
          <w:p>
            <w:r>
              <w:t xml:space="preserve">2017-08-15</w:t>
            </w:r>
          </w:p>
        </w:tc>
      </w:tr>
    </w:tbl>
    <w:p/>
    <w:p>
      <w:r>
        <w:t>Laboratory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Analyte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Exceedance</w:t>
            </w:r>
          </w:p>
        </w:tc>
      </w:tr>
      <w:tr>
        <w:tc>
          <w:tcPr>
            <w:tcW w:type="dxa" w:w="2160"/>
          </w:tcPr>
          <w:p>
            <w:r>
              <w:t xml:space="preserve">Benzene</w:t>
            </w:r>
          </w:p>
        </w:tc>
        <w:tc>
          <w:tcPr>
            <w:tcW w:type="dxa" w:w="2160"/>
          </w:tcPr>
          <w:p>
            <w:r>
              <w:t xml:space="preserve">
                <w:r>
                  <w:rPr>
                    <w:color w:val="FF0000"/>
                    <w:b/>
                  </w:rPr>
                  <w:t xml:space="preserve">0.02</w:t>
                </w:r>
              </w:t>
            </w:r>
          </w:p>
        </w:tc>
        <w:tc>
          <w:tcPr>
            <w:tcW w:type="dxa" w:w="2160"/>
          </w:tcPr>
          <w:p>
            <w:r>
              <w:t xml:space="preserve">mg/kg</w:t>
            </w:r>
          </w:p>
        </w:tc>
        <w:tc>
          <w:tcPr>
            <w:tcW w:type="dxa" w:w="2160"/>
          </w:tcPr>
          <w:p>
            <w:r>
              <w:t xml:space="preserve">Yes</w:t>
            </w:r>
          </w:p>
        </w:tc>
      </w:tr>
      <w:tr>
        <w:tc>
          <w:tcPr>
            <w:tcW w:type="dxa" w:w="2160"/>
          </w:tcPr>
          <w:p>
            <w:r>
              <w:t xml:space="preserve">Benzene</w:t>
            </w:r>
          </w:p>
        </w:tc>
        <w:tc>
          <w:tcPr>
            <w:tcW w:type="dxa" w:w="2160"/>
          </w:tcPr>
          <w:p>
            <w:r>
              <w:t xml:space="preserve">0.005</w:t>
            </w:r>
          </w:p>
        </w:tc>
        <w:tc>
          <w:tcPr>
            <w:tcW w:type="dxa" w:w="2160"/>
          </w:tcPr>
          <w:p>
            <w:r>
              <w:t xml:space="preserve">mg/kg</w:t>
            </w:r>
          </w:p>
        </w:tc>
        <w:tc>
          <w:tcPr>
            <w:tcW w:type="dxa" w:w="2160"/>
          </w:tcPr>
          <w:p>
            <w:r>
              <w:t xml:space="preserve">No</w:t>
            </w:r>
          </w:p>
        </w:tc>
      </w:tr>
      <w:tr>
        <w:tc>
          <w:tcPr>
            <w:tcW w:type="dxa" w:w="2160"/>
          </w:tcPr>
          <w:p>
            <w:r>
              <w:t xml:space="preserve">TCE</w:t>
            </w:r>
          </w:p>
        </w:tc>
        <w:tc>
          <w:tcPr>
            <w:tcW w:type="dxa" w:w="2160"/>
          </w:tcPr>
          <w:p>
            <w:r>
              <w:t xml:space="preserve">0.001</w:t>
            </w:r>
          </w:p>
        </w:tc>
        <w:tc>
          <w:tcPr>
            <w:tcW w:type="dxa" w:w="2160"/>
          </w:tcPr>
          <w:p>
            <w:r>
              <w:t xml:space="preserve">mg/kg</w:t>
            </w:r>
          </w:p>
        </w:tc>
        <w:tc>
          <w:tcPr>
            <w:tcW w:type="dxa" w:w="2160"/>
          </w:tcPr>
          <w:p>
            <w:r>
              <w:t xml:space="preserve">No</w:t>
            </w:r>
          </w:p>
        </w:tc>
      </w:tr>
    </w:tbl>
    <w:p>
      <w:pPr>
        <w:pStyle w:val="Heading1"/>
      </w:pPr>
      <w:r>
        <w:t>Conclusions</w:t>
      </w:r>
    </w:p>
    <w:p>
      <w:r>
        <w:t xml:space="preserve">Exceedances at well centre warrant risk assessment. No further Phase II off-lease sampling recommended at this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