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21" w:rsidRPr="00894E21" w:rsidRDefault="009F471B" w:rsidP="00894E21">
      <w:pPr>
        <w:pStyle w:val="NormalWeb"/>
        <w:spacing w:before="0" w:beforeAutospacing="0" w:after="0" w:afterAutospacing="0" w:line="480" w:lineRule="auto"/>
        <w:jc w:val="center"/>
      </w:pPr>
      <w:bookmarkStart w:id="0" w:name="_GoBack"/>
      <w:bookmarkEnd w:id="0"/>
      <w:r w:rsidRPr="00894E21">
        <w:rPr>
          <w:rStyle w:val="Strong"/>
        </w:rPr>
        <w:t>Introduction</w:t>
      </w:r>
    </w:p>
    <w:p w:rsidR="00894E21" w:rsidRPr="00894E21" w:rsidRDefault="009F471B" w:rsidP="00894E21">
      <w:pPr>
        <w:pStyle w:val="NormalWeb"/>
        <w:spacing w:before="0" w:beforeAutospacing="0" w:after="0" w:afterAutospacing="0" w:line="480" w:lineRule="auto"/>
        <w:ind w:firstLine="1440"/>
        <w:jc w:val="both"/>
      </w:pPr>
      <w:r w:rsidRPr="00894E21">
        <w:t xml:space="preserve">Various organizations actively advocate for their interests via lobbying in governmental agencies, which has become crucial to the political scene. In this article, we examine the dynamics of lobbying </w:t>
      </w:r>
      <w:r w:rsidRPr="00894E21">
        <w:t>expenditures across several state governments, looking at the effects of their operations and any possible ramifications for public policy and interest.</w:t>
      </w:r>
    </w:p>
    <w:p w:rsidR="00894E21" w:rsidRPr="00894E21" w:rsidRDefault="009F471B" w:rsidP="00894E21">
      <w:pPr>
        <w:pStyle w:val="NormalWeb"/>
        <w:spacing w:before="0" w:beforeAutospacing="0" w:after="0" w:afterAutospacing="0" w:line="480" w:lineRule="auto"/>
        <w:jc w:val="center"/>
      </w:pPr>
      <w:r w:rsidRPr="00894E21">
        <w:rPr>
          <w:rStyle w:val="Strong"/>
        </w:rPr>
        <w:t>Entity Types</w:t>
      </w:r>
    </w:p>
    <w:p w:rsidR="00894E21" w:rsidRPr="00894E21" w:rsidRDefault="009F471B" w:rsidP="00894E21">
      <w:pPr>
        <w:pStyle w:val="NormalWeb"/>
        <w:spacing w:before="0" w:beforeAutospacing="0" w:after="0" w:afterAutospacing="0" w:line="480" w:lineRule="auto"/>
        <w:ind w:firstLine="1440"/>
        <w:jc w:val="both"/>
      </w:pPr>
      <w:r w:rsidRPr="00894E21">
        <w:t>A comprehensive assessment of lobbying expenditures necessitates an understanding of the d</w:t>
      </w:r>
      <w:r w:rsidRPr="00894E21">
        <w:t>iverse entities involved. Within our state, there are eight distinct types of entities engaged in lobbying efforts, namely cities, counties, other entities, ports, public facilities districts, school districts, tribes, and utility districts.</w:t>
      </w:r>
    </w:p>
    <w:p w:rsidR="00894E21" w:rsidRPr="00894E21" w:rsidRDefault="009F471B" w:rsidP="00894E21">
      <w:pPr>
        <w:pStyle w:val="NormalWeb"/>
        <w:spacing w:before="0" w:beforeAutospacing="0" w:after="0" w:afterAutospacing="0" w:line="480" w:lineRule="auto"/>
        <w:jc w:val="center"/>
      </w:pPr>
      <w:r w:rsidRPr="00894E21">
        <w:rPr>
          <w:rStyle w:val="Strong"/>
        </w:rPr>
        <w:t>Lobbying Spend</w:t>
      </w:r>
      <w:r w:rsidRPr="00894E21">
        <w:rPr>
          <w:rStyle w:val="Strong"/>
        </w:rPr>
        <w:t>ing</w:t>
      </w:r>
    </w:p>
    <w:p w:rsidR="00894E21" w:rsidRPr="00894E21" w:rsidRDefault="009F471B" w:rsidP="00894E21">
      <w:pPr>
        <w:pStyle w:val="NormalWeb"/>
        <w:spacing w:before="0" w:beforeAutospacing="0" w:after="0" w:afterAutospacing="0" w:line="480" w:lineRule="auto"/>
        <w:ind w:firstLine="1440"/>
        <w:jc w:val="both"/>
      </w:pPr>
      <w:r w:rsidRPr="00894E21">
        <w:t>Upon analyzing the data, it is revealed that the city entity type has the highest lobbying spending, accounting for a substantial amount of $870,602.3. That signifies the significant influence and resources that cities allocate towards lobbying activit</w:t>
      </w:r>
      <w:r w:rsidRPr="00894E21">
        <w:t>ies, underlining the importance they place on securing favorable policies and regulations.</w:t>
      </w:r>
    </w:p>
    <w:p w:rsidR="00894E21" w:rsidRPr="00894E21" w:rsidRDefault="009F471B" w:rsidP="00894E21">
      <w:pPr>
        <w:pStyle w:val="NormalWeb"/>
        <w:spacing w:before="0" w:beforeAutospacing="0" w:after="0" w:afterAutospacing="0" w:line="480" w:lineRule="auto"/>
        <w:jc w:val="center"/>
      </w:pPr>
      <w:r w:rsidRPr="00894E21">
        <w:rPr>
          <w:rStyle w:val="Strong"/>
        </w:rPr>
        <w:t>Highly Populated Area Lobbying</w:t>
      </w:r>
    </w:p>
    <w:p w:rsidR="00894E21" w:rsidRPr="00894E21" w:rsidRDefault="009F471B" w:rsidP="00894E21">
      <w:pPr>
        <w:pStyle w:val="NormalWeb"/>
        <w:spacing w:before="0" w:beforeAutospacing="0" w:after="0" w:afterAutospacing="0" w:line="480" w:lineRule="auto"/>
        <w:ind w:firstLine="1440"/>
        <w:jc w:val="both"/>
      </w:pPr>
      <w:r w:rsidRPr="00894E21">
        <w:t>The concentration of lobbying activities within highly populated areas, such as King County and the city of Seattle, raises crucial qu</w:t>
      </w:r>
      <w:r w:rsidRPr="00894E21">
        <w:t>estions regarding the nature of their engagement with the legislature. The figures illustrate that King County spent $96,654 on lobbying, while the city of Seattle allocated $138,092. Considering their size and population, it is newsworthy to highlight the</w:t>
      </w:r>
      <w:r w:rsidRPr="00894E21">
        <w:t xml:space="preserve"> significant role these densely populated areas play in lobbying efforts (</w:t>
      </w:r>
      <w:r w:rsidRPr="00894E21">
        <w:rPr>
          <w:shd w:val="clear" w:color="auto" w:fill="FFFFFF"/>
        </w:rPr>
        <w:t>Hirsch-Hoefler &amp; Mudde, 2020)</w:t>
      </w:r>
      <w:r w:rsidRPr="00894E21">
        <w:t xml:space="preserve">. Their influence could potentially be policies affecting both </w:t>
      </w:r>
      <w:r w:rsidRPr="00894E21">
        <w:lastRenderedPageBreak/>
        <w:t>urban and rural communities, emphasizing the need for equitable representation and conside</w:t>
      </w:r>
      <w:r w:rsidRPr="00894E21">
        <w:t>ration of diverse interests.</w:t>
      </w:r>
    </w:p>
    <w:p w:rsidR="00894E21" w:rsidRPr="00894E21" w:rsidRDefault="009F471B" w:rsidP="00894E21">
      <w:pPr>
        <w:pStyle w:val="NormalWeb"/>
        <w:spacing w:before="0" w:beforeAutospacing="0" w:after="0" w:afterAutospacing="0" w:line="480" w:lineRule="auto"/>
        <w:jc w:val="center"/>
      </w:pPr>
      <w:r w:rsidRPr="00894E21">
        <w:rPr>
          <w:rStyle w:val="Strong"/>
        </w:rPr>
        <w:t>Smaller Governmental Lobbying</w:t>
      </w:r>
    </w:p>
    <w:p w:rsidR="00894E21" w:rsidRPr="00894E21" w:rsidRDefault="009F471B" w:rsidP="00894E21">
      <w:pPr>
        <w:pStyle w:val="NormalWeb"/>
        <w:spacing w:before="0" w:beforeAutospacing="0" w:after="0" w:afterAutospacing="0" w:line="480" w:lineRule="auto"/>
        <w:ind w:firstLine="1440"/>
        <w:jc w:val="both"/>
      </w:pPr>
      <w:r w:rsidRPr="00894E21">
        <w:t>In contrast, the lobbying activities of smaller governmental bodies, while comparatively less in terms of expenditure, should not be overlooked. Considered, for instance, dedicated $321,889 to lobb</w:t>
      </w:r>
      <w:r w:rsidRPr="00894E21">
        <w:t>ying, indicating their active participation in advocating for regional concerns and interests. Similarly, tribes, with a lobbying expenditure of $490,778.71, contribute significantly to shaping policies that affect their communities. Even entities with rel</w:t>
      </w:r>
      <w:r w:rsidRPr="00894E21">
        <w:t>atively lower lobbying expenditures, such as public facilities districts and utility districts, actively assert their voices in the legislative landscape, underscoring the diverse and multifaceted nature of lobbying activities across the state (Daly, 2023)</w:t>
      </w:r>
      <w:r w:rsidRPr="00894E21">
        <w:t>.</w:t>
      </w:r>
    </w:p>
    <w:p w:rsidR="00894E21" w:rsidRPr="00894E21" w:rsidRDefault="009F471B" w:rsidP="00894E21">
      <w:pPr>
        <w:pStyle w:val="NormalWeb"/>
        <w:spacing w:before="0" w:beforeAutospacing="0" w:after="0" w:afterAutospacing="0" w:line="480" w:lineRule="auto"/>
        <w:jc w:val="center"/>
      </w:pPr>
      <w:r w:rsidRPr="00894E21">
        <w:rPr>
          <w:rStyle w:val="Strong"/>
        </w:rPr>
        <w:t>Conclusion</w:t>
      </w:r>
    </w:p>
    <w:p w:rsidR="00894E21" w:rsidRPr="00894E21" w:rsidRDefault="009F471B" w:rsidP="00894E21">
      <w:pPr>
        <w:spacing w:line="480" w:lineRule="auto"/>
        <w:ind w:firstLine="1440"/>
        <w:jc w:val="both"/>
        <w:rPr>
          <w:rFonts w:ascii="Times New Roman" w:eastAsia="Times New Roman" w:hAnsi="Times New Roman" w:cs="Times New Roman"/>
          <w:sz w:val="24"/>
          <w:szCs w:val="24"/>
        </w:rPr>
      </w:pPr>
      <w:r w:rsidRPr="00894E21">
        <w:rPr>
          <w:rFonts w:ascii="Times New Roman" w:eastAsia="Times New Roman" w:hAnsi="Times New Roman" w:cs="Times New Roman"/>
          <w:sz w:val="24"/>
          <w:szCs w:val="24"/>
        </w:rPr>
        <w:t>The multifaceted nature of lobbying expenditures among various governmental bodies underscores the intricate dynamics at play within the state's legislative landscape. While urban centers wield substantial influence, it is imperative to recogn</w:t>
      </w:r>
      <w:r w:rsidRPr="00894E21">
        <w:rPr>
          <w:rFonts w:ascii="Times New Roman" w:eastAsia="Times New Roman" w:hAnsi="Times New Roman" w:cs="Times New Roman"/>
          <w:sz w:val="24"/>
          <w:szCs w:val="24"/>
        </w:rPr>
        <w:t>ize and account for the diverse interests of smaller governmental entities, ensuring a balanced and equitable decision-making process (Yami &amp; Mekuria, 2023).</w:t>
      </w:r>
    </w:p>
    <w:p w:rsidR="00894E21" w:rsidRPr="00894E21" w:rsidRDefault="009F471B" w:rsidP="00EE2FDA">
      <w:pPr>
        <w:spacing w:line="480" w:lineRule="auto"/>
        <w:ind w:firstLine="1440"/>
        <w:jc w:val="both"/>
        <w:rPr>
          <w:rFonts w:ascii="Times New Roman" w:eastAsia="Times New Roman" w:hAnsi="Times New Roman" w:cs="Times New Roman"/>
          <w:sz w:val="24"/>
          <w:szCs w:val="24"/>
        </w:rPr>
      </w:pPr>
      <w:r w:rsidRPr="00EE2FDA">
        <w:rPr>
          <w:rFonts w:ascii="Times New Roman" w:eastAsia="Times New Roman" w:hAnsi="Times New Roman" w:cs="Times New Roman"/>
          <w:sz w:val="24"/>
          <w:szCs w:val="24"/>
        </w:rPr>
        <w:t>In order to ensure that the interests of all communities, regardless of size or population density</w:t>
      </w:r>
      <w:r w:rsidRPr="00EE2FDA">
        <w:rPr>
          <w:rFonts w:ascii="Times New Roman" w:eastAsia="Times New Roman" w:hAnsi="Times New Roman" w:cs="Times New Roman"/>
          <w:sz w:val="24"/>
          <w:szCs w:val="24"/>
        </w:rPr>
        <w:t>, are adequately represented and taken into account in the policymaking process, this analysis emphasizes the importance of transparency and accountability in lobbying activities. Policymakers may promote a more accommodating and responsive legislative cli</w:t>
      </w:r>
      <w:r w:rsidRPr="00EE2FDA">
        <w:rPr>
          <w:rFonts w:ascii="Times New Roman" w:eastAsia="Times New Roman" w:hAnsi="Times New Roman" w:cs="Times New Roman"/>
          <w:sz w:val="24"/>
          <w:szCs w:val="24"/>
        </w:rPr>
        <w:t>mate that takes into account the varying demands and goals of all constituencies by recognizing the complex interactions between various entity kinds and their distinct lobbying operations.</w:t>
      </w:r>
    </w:p>
    <w:p w:rsidR="00894E21" w:rsidRPr="00894E21" w:rsidRDefault="009F471B" w:rsidP="00894E21">
      <w:pPr>
        <w:spacing w:line="480" w:lineRule="auto"/>
        <w:jc w:val="center"/>
        <w:rPr>
          <w:rFonts w:ascii="Times New Roman" w:eastAsia="Times New Roman" w:hAnsi="Times New Roman" w:cs="Times New Roman"/>
          <w:b/>
          <w:sz w:val="24"/>
          <w:szCs w:val="24"/>
        </w:rPr>
      </w:pPr>
      <w:r w:rsidRPr="00894E21">
        <w:rPr>
          <w:rFonts w:ascii="Times New Roman" w:eastAsia="Times New Roman" w:hAnsi="Times New Roman" w:cs="Times New Roman"/>
          <w:b/>
          <w:sz w:val="24"/>
          <w:szCs w:val="24"/>
        </w:rPr>
        <w:lastRenderedPageBreak/>
        <w:t>References</w:t>
      </w:r>
    </w:p>
    <w:p w:rsidR="00894E21" w:rsidRPr="00894E21" w:rsidRDefault="009F471B" w:rsidP="00894E21">
      <w:pPr>
        <w:spacing w:line="480" w:lineRule="auto"/>
        <w:ind w:left="1440" w:hanging="1440"/>
        <w:rPr>
          <w:rFonts w:ascii="Times New Roman" w:hAnsi="Times New Roman" w:cs="Times New Roman"/>
          <w:sz w:val="24"/>
          <w:szCs w:val="24"/>
          <w:shd w:val="clear" w:color="auto" w:fill="FFFFFF"/>
        </w:rPr>
      </w:pPr>
      <w:r w:rsidRPr="00894E21">
        <w:rPr>
          <w:rFonts w:ascii="Times New Roman" w:hAnsi="Times New Roman" w:cs="Times New Roman"/>
          <w:sz w:val="24"/>
          <w:szCs w:val="24"/>
          <w:shd w:val="clear" w:color="auto" w:fill="FFFFFF"/>
        </w:rPr>
        <w:t xml:space="preserve">Daly, A. (2023). Politics, Players, and Legislation in </w:t>
      </w:r>
      <w:r w:rsidRPr="00894E21">
        <w:rPr>
          <w:rFonts w:ascii="Times New Roman" w:hAnsi="Times New Roman" w:cs="Times New Roman"/>
          <w:sz w:val="24"/>
          <w:szCs w:val="24"/>
          <w:shd w:val="clear" w:color="auto" w:fill="FFFFFF"/>
        </w:rPr>
        <w:t>the California Housing Crisis.</w:t>
      </w:r>
    </w:p>
    <w:p w:rsidR="00894E21" w:rsidRPr="00894E21" w:rsidRDefault="009F471B" w:rsidP="00894E21">
      <w:pPr>
        <w:spacing w:line="480" w:lineRule="auto"/>
        <w:ind w:left="1440" w:hanging="1440"/>
        <w:rPr>
          <w:rFonts w:ascii="Times New Roman" w:hAnsi="Times New Roman" w:cs="Times New Roman"/>
          <w:sz w:val="24"/>
          <w:szCs w:val="24"/>
          <w:shd w:val="clear" w:color="auto" w:fill="FFFFFF"/>
        </w:rPr>
      </w:pPr>
      <w:r w:rsidRPr="00894E21">
        <w:rPr>
          <w:rFonts w:ascii="Times New Roman" w:hAnsi="Times New Roman" w:cs="Times New Roman"/>
          <w:sz w:val="24"/>
          <w:szCs w:val="24"/>
          <w:shd w:val="clear" w:color="auto" w:fill="FFFFFF"/>
        </w:rPr>
        <w:t>Hirsch-Hoefler, S., &amp; Mudde, C. (2020). </w:t>
      </w:r>
      <w:r w:rsidRPr="00894E21">
        <w:rPr>
          <w:rFonts w:ascii="Times New Roman" w:hAnsi="Times New Roman" w:cs="Times New Roman"/>
          <w:i/>
          <w:iCs/>
          <w:sz w:val="24"/>
          <w:szCs w:val="24"/>
          <w:shd w:val="clear" w:color="auto" w:fill="FFFFFF"/>
        </w:rPr>
        <w:t>The Israeli settler movement: Assessing and explaining social movement success</w:t>
      </w:r>
      <w:r w:rsidRPr="00894E21">
        <w:rPr>
          <w:rFonts w:ascii="Times New Roman" w:hAnsi="Times New Roman" w:cs="Times New Roman"/>
          <w:sz w:val="24"/>
          <w:szCs w:val="24"/>
          <w:shd w:val="clear" w:color="auto" w:fill="FFFFFF"/>
        </w:rPr>
        <w:t>. Cambridge University Press.</w:t>
      </w:r>
    </w:p>
    <w:p w:rsidR="00894E21" w:rsidRPr="00894E21" w:rsidRDefault="009F471B" w:rsidP="00894E21">
      <w:pPr>
        <w:spacing w:line="480" w:lineRule="auto"/>
        <w:ind w:left="1440" w:hanging="1440"/>
        <w:rPr>
          <w:rFonts w:ascii="Times New Roman" w:hAnsi="Times New Roman" w:cs="Times New Roman"/>
          <w:b/>
          <w:sz w:val="24"/>
          <w:szCs w:val="24"/>
        </w:rPr>
      </w:pPr>
      <w:r w:rsidRPr="00894E21">
        <w:rPr>
          <w:rFonts w:ascii="Times New Roman" w:hAnsi="Times New Roman" w:cs="Times New Roman"/>
          <w:sz w:val="24"/>
          <w:szCs w:val="24"/>
          <w:shd w:val="clear" w:color="auto" w:fill="FFFFFF"/>
        </w:rPr>
        <w:t>Yami, M., &amp; Mekuria, W. (2022). Challenges in the governance of community-man</w:t>
      </w:r>
      <w:r w:rsidRPr="00894E21">
        <w:rPr>
          <w:rFonts w:ascii="Times New Roman" w:hAnsi="Times New Roman" w:cs="Times New Roman"/>
          <w:sz w:val="24"/>
          <w:szCs w:val="24"/>
          <w:shd w:val="clear" w:color="auto" w:fill="FFFFFF"/>
        </w:rPr>
        <w:t>aged forests in Ethiopia. </w:t>
      </w:r>
      <w:r w:rsidRPr="00894E21">
        <w:rPr>
          <w:rFonts w:ascii="Times New Roman" w:hAnsi="Times New Roman" w:cs="Times New Roman"/>
          <w:i/>
          <w:iCs/>
          <w:sz w:val="24"/>
          <w:szCs w:val="24"/>
          <w:shd w:val="clear" w:color="auto" w:fill="FFFFFF"/>
        </w:rPr>
        <w:t>Sustainability</w:t>
      </w:r>
      <w:r w:rsidRPr="00894E21">
        <w:rPr>
          <w:rFonts w:ascii="Times New Roman" w:hAnsi="Times New Roman" w:cs="Times New Roman"/>
          <w:sz w:val="24"/>
          <w:szCs w:val="24"/>
          <w:shd w:val="clear" w:color="auto" w:fill="FFFFFF"/>
        </w:rPr>
        <w:t>, </w:t>
      </w:r>
      <w:r w:rsidRPr="00894E21">
        <w:rPr>
          <w:rFonts w:ascii="Times New Roman" w:hAnsi="Times New Roman" w:cs="Times New Roman"/>
          <w:i/>
          <w:iCs/>
          <w:sz w:val="24"/>
          <w:szCs w:val="24"/>
          <w:shd w:val="clear" w:color="auto" w:fill="FFFFFF"/>
        </w:rPr>
        <w:t>14</w:t>
      </w:r>
      <w:r w:rsidRPr="00894E21">
        <w:rPr>
          <w:rFonts w:ascii="Times New Roman" w:hAnsi="Times New Roman" w:cs="Times New Roman"/>
          <w:sz w:val="24"/>
          <w:szCs w:val="24"/>
          <w:shd w:val="clear" w:color="auto" w:fill="FFFFFF"/>
        </w:rPr>
        <w:t>(3), 1478.</w:t>
      </w:r>
    </w:p>
    <w:sectPr w:rsidR="00894E21" w:rsidRPr="00894E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71B" w:rsidRDefault="009F471B">
      <w:pPr>
        <w:spacing w:after="0" w:line="240" w:lineRule="auto"/>
      </w:pPr>
      <w:r>
        <w:separator/>
      </w:r>
    </w:p>
  </w:endnote>
  <w:endnote w:type="continuationSeparator" w:id="0">
    <w:p w:rsidR="009F471B" w:rsidRDefault="009F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71B" w:rsidRDefault="009F471B">
      <w:pPr>
        <w:spacing w:after="0" w:line="240" w:lineRule="auto"/>
      </w:pPr>
      <w:r>
        <w:separator/>
      </w:r>
    </w:p>
  </w:footnote>
  <w:footnote w:type="continuationSeparator" w:id="0">
    <w:p w:rsidR="009F471B" w:rsidRDefault="009F4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72801492"/>
      <w:docPartObj>
        <w:docPartGallery w:val="Page Numbers (Top of Page)"/>
        <w:docPartUnique/>
      </w:docPartObj>
    </w:sdtPr>
    <w:sdtEndPr>
      <w:rPr>
        <w:noProof/>
      </w:rPr>
    </w:sdtEndPr>
    <w:sdtContent>
      <w:p w:rsidR="00894E21" w:rsidRPr="00894E21" w:rsidRDefault="009F471B">
        <w:pPr>
          <w:pStyle w:val="Header"/>
          <w:jc w:val="right"/>
          <w:rPr>
            <w:rFonts w:ascii="Times New Roman" w:hAnsi="Times New Roman" w:cs="Times New Roman"/>
            <w:sz w:val="24"/>
            <w:szCs w:val="24"/>
          </w:rPr>
        </w:pPr>
        <w:r w:rsidRPr="00894E21">
          <w:rPr>
            <w:rFonts w:ascii="Times New Roman" w:hAnsi="Times New Roman" w:cs="Times New Roman"/>
            <w:sz w:val="24"/>
            <w:szCs w:val="24"/>
          </w:rPr>
          <w:fldChar w:fldCharType="begin"/>
        </w:r>
        <w:r w:rsidRPr="00894E21">
          <w:rPr>
            <w:rFonts w:ascii="Times New Roman" w:hAnsi="Times New Roman" w:cs="Times New Roman"/>
            <w:sz w:val="24"/>
            <w:szCs w:val="24"/>
          </w:rPr>
          <w:instrText xml:space="preserve"> PAGE   \* MERGEFORMAT </w:instrText>
        </w:r>
        <w:r w:rsidRPr="00894E21">
          <w:rPr>
            <w:rFonts w:ascii="Times New Roman" w:hAnsi="Times New Roman" w:cs="Times New Roman"/>
            <w:sz w:val="24"/>
            <w:szCs w:val="24"/>
          </w:rPr>
          <w:fldChar w:fldCharType="separate"/>
        </w:r>
        <w:r w:rsidR="00A63298">
          <w:rPr>
            <w:rFonts w:ascii="Times New Roman" w:hAnsi="Times New Roman" w:cs="Times New Roman"/>
            <w:noProof/>
            <w:sz w:val="24"/>
            <w:szCs w:val="24"/>
          </w:rPr>
          <w:t>2</w:t>
        </w:r>
        <w:r w:rsidRPr="00894E21">
          <w:rPr>
            <w:rFonts w:ascii="Times New Roman" w:hAnsi="Times New Roman" w:cs="Times New Roman"/>
            <w:noProof/>
            <w:sz w:val="24"/>
            <w:szCs w:val="24"/>
          </w:rPr>
          <w:fldChar w:fldCharType="end"/>
        </w:r>
      </w:p>
    </w:sdtContent>
  </w:sdt>
  <w:p w:rsidR="00894E21" w:rsidRPr="00894E21" w:rsidRDefault="00894E2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E21"/>
    <w:rsid w:val="00360695"/>
    <w:rsid w:val="004E0A07"/>
    <w:rsid w:val="00894E21"/>
    <w:rsid w:val="009F3C8F"/>
    <w:rsid w:val="009F471B"/>
    <w:rsid w:val="00A63298"/>
    <w:rsid w:val="00EE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F00F"/>
  <w15:chartTrackingRefBased/>
  <w15:docId w15:val="{AC526A5E-4749-4DB3-9386-1BAE6FCB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E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E21"/>
    <w:rPr>
      <w:b/>
      <w:bCs/>
    </w:rPr>
  </w:style>
  <w:style w:type="paragraph" w:styleId="Header">
    <w:name w:val="header"/>
    <w:basedOn w:val="Normal"/>
    <w:link w:val="HeaderChar"/>
    <w:uiPriority w:val="99"/>
    <w:unhideWhenUsed/>
    <w:rsid w:val="00894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E21"/>
  </w:style>
  <w:style w:type="paragraph" w:styleId="Footer">
    <w:name w:val="footer"/>
    <w:basedOn w:val="Normal"/>
    <w:link w:val="FooterChar"/>
    <w:uiPriority w:val="99"/>
    <w:unhideWhenUsed/>
    <w:rsid w:val="00894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E21"/>
  </w:style>
  <w:style w:type="character" w:customStyle="1" w:styleId="Heading1Char">
    <w:name w:val="Heading 1 Char"/>
    <w:basedOn w:val="DefaultParagraphFont"/>
    <w:link w:val="Heading1"/>
    <w:uiPriority w:val="9"/>
    <w:rsid w:val="00894E2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2023-10-15T13:21:00Z</dcterms:created>
  <dcterms:modified xsi:type="dcterms:W3CDTF">2023-10-22T10:23:00Z</dcterms:modified>
</cp:coreProperties>
</file>