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FDD" w:rsidRPr="00C95FDD" w:rsidRDefault="00C95FDD" w:rsidP="00C95FDD">
      <w:pPr>
        <w:spacing w:line="480" w:lineRule="auto"/>
        <w:jc w:val="center"/>
        <w:rPr>
          <w:rFonts w:ascii="Times New Roman" w:hAnsi="Times New Roman" w:cs="Times New Roman"/>
          <w:b/>
          <w:sz w:val="24"/>
          <w:szCs w:val="24"/>
        </w:rPr>
      </w:pPr>
      <w:r w:rsidRPr="00C95FDD">
        <w:rPr>
          <w:rFonts w:ascii="Times New Roman" w:hAnsi="Times New Roman" w:cs="Times New Roman"/>
          <w:b/>
          <w:sz w:val="24"/>
          <w:szCs w:val="24"/>
        </w:rPr>
        <w:t xml:space="preserve">Data Visualization </w:t>
      </w:r>
    </w:p>
    <w:p w:rsidR="00771A03" w:rsidRPr="00C95FDD" w:rsidRDefault="00671875" w:rsidP="000507C6">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t>The financial landscape of local governmental agencies in their state is under scrutiny as one delves into a comprehensive analysis of lobbying expenses and compensation. This investigation aims to uncover disparities in spending across various types of entities and shed light on the lobbying activities of schools, cities, counties, ports, tribes, and more. By dissecting the data and creating informative visualizations, one can better understand the influence, power, and resource allocation dynamics within local governments</w:t>
      </w:r>
      <w:r w:rsidR="00C95FDD" w:rsidRPr="00C95FDD">
        <w:rPr>
          <w:rFonts w:ascii="Times New Roman" w:hAnsi="Times New Roman" w:cs="Times New Roman"/>
          <w:color w:val="000000" w:themeColor="text1"/>
          <w:sz w:val="24"/>
          <w:szCs w:val="24"/>
        </w:rPr>
        <w:t xml:space="preserve"> (Cao et al., 2023)</w:t>
      </w:r>
      <w:r w:rsidRPr="00C95FDD">
        <w:rPr>
          <w:rFonts w:ascii="Times New Roman" w:hAnsi="Times New Roman" w:cs="Times New Roman"/>
          <w:color w:val="000000" w:themeColor="text1"/>
          <w:sz w:val="24"/>
          <w:szCs w:val="24"/>
        </w:rPr>
        <w:t>.</w:t>
      </w:r>
    </w:p>
    <w:p w:rsidR="00616E00" w:rsidRPr="00C95FDD" w:rsidRDefault="00671875" w:rsidP="00616E00">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t xml:space="preserve">In the initial examination of the data, substantial disparities in lobbying expenses among different local governmental agencies become apparent. The "OTHER" category emerges as the leading spender, eclipsing all others with a staggering $102,701.60. That raises immediate questions about the nature of these "OTHER" entities and their lobbying activities. It is imperative to uncover the driving forces behind this significant expenditure. "CITIES" also stand out, </w:t>
      </w:r>
      <w:r w:rsidRPr="00C95FDD">
        <w:rPr>
          <w:rFonts w:ascii="Times New Roman" w:hAnsi="Times New Roman" w:cs="Times New Roman"/>
          <w:color w:val="000000" w:themeColor="text1"/>
          <w:sz w:val="24"/>
          <w:szCs w:val="24"/>
        </w:rPr>
        <w:lastRenderedPageBreak/>
        <w:t>incurring expenses amounting to $40,826.53, hinting at their active involvement in state-level politics.</w:t>
      </w:r>
    </w:p>
    <w:p w:rsidR="00671875" w:rsidRPr="00C95FDD" w:rsidRDefault="00671875" w:rsidP="00C95FDD">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t>Parallel to the disparities in expenses, there is a corresponding contrast in compensation paid to lobbyists. "CITIES" emerge as the most significant contributors in this category, remunerating lobbyists with a substantial sum of $829,775.78. In comparison, "SCHOOL DISTRICTS" allocate $0 for compensation, highlighting a disparity in engagement in state-level advocacy efforts. Classifying entities under the enigmatic "OTHER" category demands further investigation. Who are these entities, and what drives them to spend over $100,000 on lobbying? Are they representing unique interests or engaged in a variety of issues? Answers to these questions could unveil hidden power dynamics within local governments.</w:t>
      </w:r>
    </w:p>
    <w:p w:rsidR="00671875" w:rsidRPr="00C95FDD" w:rsidRDefault="00C95FDD" w:rsidP="00C95FDD">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t xml:space="preserve">One must investigate the particular problems and reasons these agencies engage lobbyists to fully comprehend the meaning of these costs and remuneration. How do their objectives and priorities compare to the demands and ambitions of the communities they serve locally? </w:t>
      </w:r>
      <w:r w:rsidR="00671875" w:rsidRPr="00C95FDD">
        <w:rPr>
          <w:rFonts w:ascii="Times New Roman" w:hAnsi="Times New Roman" w:cs="Times New Roman"/>
          <w:color w:val="000000" w:themeColor="text1"/>
          <w:sz w:val="24"/>
          <w:szCs w:val="24"/>
        </w:rPr>
        <w:t>Are there any discernible patterns or trends in lobbying expenses and compensation over time? By examining historical data, one can gain insights into the evolution of lobbying efforts by local governmental agencies</w:t>
      </w:r>
      <w:r w:rsidRPr="00C95FDD">
        <w:rPr>
          <w:rFonts w:ascii="Times New Roman" w:hAnsi="Times New Roman" w:cs="Times New Roman"/>
          <w:color w:val="000000" w:themeColor="text1"/>
          <w:sz w:val="24"/>
          <w:szCs w:val="24"/>
        </w:rPr>
        <w:t xml:space="preserve"> (</w:t>
      </w:r>
      <w:proofErr w:type="spellStart"/>
      <w:r w:rsidRPr="00C95FDD">
        <w:rPr>
          <w:rFonts w:ascii="Times New Roman" w:hAnsi="Times New Roman" w:cs="Times New Roman"/>
          <w:color w:val="000000" w:themeColor="text1"/>
          <w:sz w:val="24"/>
          <w:szCs w:val="24"/>
        </w:rPr>
        <w:t>Kassen</w:t>
      </w:r>
      <w:proofErr w:type="spellEnd"/>
      <w:r w:rsidRPr="00C95FDD">
        <w:rPr>
          <w:rFonts w:ascii="Times New Roman" w:hAnsi="Times New Roman" w:cs="Times New Roman"/>
          <w:color w:val="000000" w:themeColor="text1"/>
          <w:sz w:val="24"/>
          <w:szCs w:val="24"/>
        </w:rPr>
        <w:t>, 2021)</w:t>
      </w:r>
      <w:r w:rsidR="00671875" w:rsidRPr="00C95FDD">
        <w:rPr>
          <w:rFonts w:ascii="Times New Roman" w:hAnsi="Times New Roman" w:cs="Times New Roman"/>
          <w:color w:val="000000" w:themeColor="text1"/>
          <w:sz w:val="24"/>
          <w:szCs w:val="24"/>
        </w:rPr>
        <w:t>. Identifying shifts in spending priorities can be instrumental in understanding the changing dynamics of political influence.</w:t>
      </w:r>
    </w:p>
    <w:p w:rsidR="00671875" w:rsidRPr="00C95FDD" w:rsidRDefault="00671875" w:rsidP="00C95FDD">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t>While some entities like "CITIES" and "TRIBES" actively engage in lobbying activities, "SCHOOL DISTRICTS" and "PUBLIC FACILITIES DISTRICTS" seem to maintain a lower profile. What lobbying efforts are they involved in, and why are their expenditures comparatively lower? Uncovering the objectives and strategies of these agencies can provide valuable insights into their unique roles in the political landscape.</w:t>
      </w:r>
    </w:p>
    <w:p w:rsidR="00671875" w:rsidRPr="00C95FDD" w:rsidRDefault="00671875" w:rsidP="00C95FDD">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lastRenderedPageBreak/>
        <w:t>Ultimately, evaluating the effectiveness of lobbying expenses and compensation is crucial. Do higher expenses and compensation correlate with successful lobbying outcomes? Understanding the return on investment for these resources can help individuals, taxpayers, and policymakers assess the efficiency and impact of lobbying efforts</w:t>
      </w:r>
      <w:r w:rsidR="00C95FDD" w:rsidRPr="00C95FDD">
        <w:rPr>
          <w:rFonts w:ascii="Times New Roman" w:hAnsi="Times New Roman" w:cs="Times New Roman"/>
          <w:color w:val="000000" w:themeColor="text1"/>
          <w:sz w:val="24"/>
          <w:szCs w:val="24"/>
        </w:rPr>
        <w:t xml:space="preserve"> (</w:t>
      </w:r>
      <w:proofErr w:type="spellStart"/>
      <w:r w:rsidR="00C95FDD" w:rsidRPr="00C95FDD">
        <w:rPr>
          <w:rFonts w:ascii="Times New Roman" w:hAnsi="Times New Roman" w:cs="Times New Roman"/>
          <w:color w:val="000000" w:themeColor="text1"/>
          <w:sz w:val="24"/>
          <w:szCs w:val="24"/>
        </w:rPr>
        <w:t>Belfiore</w:t>
      </w:r>
      <w:proofErr w:type="spellEnd"/>
      <w:r w:rsidR="00C95FDD" w:rsidRPr="00C95FDD">
        <w:rPr>
          <w:rFonts w:ascii="Times New Roman" w:hAnsi="Times New Roman" w:cs="Times New Roman"/>
          <w:color w:val="000000" w:themeColor="text1"/>
          <w:sz w:val="24"/>
          <w:szCs w:val="24"/>
        </w:rPr>
        <w:t>, 2022)</w:t>
      </w:r>
      <w:r w:rsidRPr="00C95FDD">
        <w:rPr>
          <w:rFonts w:ascii="Times New Roman" w:hAnsi="Times New Roman" w:cs="Times New Roman"/>
          <w:color w:val="000000" w:themeColor="text1"/>
          <w:sz w:val="24"/>
          <w:szCs w:val="24"/>
        </w:rPr>
        <w:t>.</w:t>
      </w:r>
    </w:p>
    <w:p w:rsidR="00671875" w:rsidRPr="00C95FDD" w:rsidRDefault="00671875" w:rsidP="00C95FDD">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t xml:space="preserve">Calculating the average expenses per entity type will reveal which agencies are most efficiently using their resources. </w:t>
      </w:r>
      <w:r w:rsidR="00C95FDD" w:rsidRPr="00C95FDD">
        <w:rPr>
          <w:rFonts w:ascii="Times New Roman" w:hAnsi="Times New Roman" w:cs="Times New Roman"/>
          <w:color w:val="000000" w:themeColor="text1"/>
          <w:sz w:val="24"/>
          <w:szCs w:val="24"/>
        </w:rPr>
        <w:t>Assessing whether taxpayers' tax money is being used wisely is essential for decision-makers. Calculating the proportion of compensation to total costs for each entity type may help with resource allocation</w:t>
      </w:r>
      <w:r w:rsidRPr="00C95FDD">
        <w:rPr>
          <w:rFonts w:ascii="Times New Roman" w:hAnsi="Times New Roman" w:cs="Times New Roman"/>
          <w:color w:val="000000" w:themeColor="text1"/>
          <w:sz w:val="24"/>
          <w:szCs w:val="24"/>
        </w:rPr>
        <w:t>. This metric will reveal how much of an agency's lobbying budget goes towards lobbyist compensation, providing insights into their priorities. Incorporating time-series data into the analysis will enable one to visualize trends in expenses and compensation over the years</w:t>
      </w:r>
      <w:r w:rsidR="00C95FDD" w:rsidRPr="00C95FDD">
        <w:rPr>
          <w:rFonts w:ascii="Times New Roman" w:hAnsi="Times New Roman" w:cs="Times New Roman"/>
          <w:color w:val="000000" w:themeColor="text1"/>
          <w:sz w:val="24"/>
          <w:szCs w:val="24"/>
        </w:rPr>
        <w:t xml:space="preserve"> (Schaffer et al., 2021)</w:t>
      </w:r>
      <w:r w:rsidRPr="00C95FDD">
        <w:rPr>
          <w:rFonts w:ascii="Times New Roman" w:hAnsi="Times New Roman" w:cs="Times New Roman"/>
          <w:color w:val="000000" w:themeColor="text1"/>
          <w:sz w:val="24"/>
          <w:szCs w:val="24"/>
        </w:rPr>
        <w:t>. These trends may expose shifts in priorities, political climates, or policy agendas, shedding light on the ever-evolving nature of lobbying efforts. By calculating the ratio of compensation to expenses for each entity type, one can identify those entities that allocate a significant portion of their lobbying budget to lobbyist compensation. This ratio can be a crucial indicator of spending efficiency and resource distribution.</w:t>
      </w:r>
    </w:p>
    <w:p w:rsidR="00C95FDD" w:rsidRPr="00C95FDD" w:rsidRDefault="00671875" w:rsidP="004A7EE0">
      <w:pPr>
        <w:spacing w:line="480" w:lineRule="auto"/>
        <w:ind w:firstLine="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rPr>
        <w:t>As one embarks on this investigative journey into lobbying expenses and compensation within local governmental agencies, they are committed to unveiling the stories hidden within the data. By addressing these unanswered questions, conducting in-depth analyses, and presenting findings through impactful visualizations, one aims to empower readers with the knowledge they need to make informed decisions and hold their local governments accountable for their financial choices.</w:t>
      </w:r>
      <w:bookmarkStart w:id="0" w:name="_GoBack"/>
      <w:bookmarkEnd w:id="0"/>
    </w:p>
    <w:p w:rsidR="00C95FDD" w:rsidRPr="00C95FDD" w:rsidRDefault="00C95FDD" w:rsidP="00C95FDD">
      <w:pPr>
        <w:spacing w:line="480" w:lineRule="auto"/>
        <w:ind w:firstLine="1440"/>
        <w:jc w:val="center"/>
        <w:rPr>
          <w:rFonts w:ascii="Times New Roman" w:hAnsi="Times New Roman" w:cs="Times New Roman"/>
          <w:b/>
          <w:color w:val="000000" w:themeColor="text1"/>
          <w:sz w:val="24"/>
          <w:szCs w:val="24"/>
        </w:rPr>
      </w:pPr>
      <w:r w:rsidRPr="00C95FDD">
        <w:rPr>
          <w:rFonts w:ascii="Times New Roman" w:hAnsi="Times New Roman" w:cs="Times New Roman"/>
          <w:b/>
          <w:color w:val="000000" w:themeColor="text1"/>
          <w:sz w:val="24"/>
          <w:szCs w:val="24"/>
        </w:rPr>
        <w:t>References</w:t>
      </w:r>
    </w:p>
    <w:p w:rsidR="00C95FDD" w:rsidRPr="00C95FDD" w:rsidRDefault="00C95FDD" w:rsidP="00C95FDD">
      <w:pPr>
        <w:spacing w:line="480" w:lineRule="auto"/>
        <w:ind w:left="1440" w:hanging="1440"/>
        <w:jc w:val="both"/>
        <w:rPr>
          <w:rFonts w:ascii="Times New Roman" w:hAnsi="Times New Roman" w:cs="Times New Roman"/>
          <w:color w:val="000000" w:themeColor="text1"/>
          <w:sz w:val="24"/>
          <w:szCs w:val="24"/>
          <w:shd w:val="clear" w:color="auto" w:fill="FFFFFF"/>
        </w:rPr>
      </w:pPr>
      <w:proofErr w:type="spellStart"/>
      <w:r w:rsidRPr="00C95FDD">
        <w:rPr>
          <w:rFonts w:ascii="Times New Roman" w:hAnsi="Times New Roman" w:cs="Times New Roman"/>
          <w:color w:val="000000" w:themeColor="text1"/>
          <w:sz w:val="24"/>
          <w:szCs w:val="24"/>
          <w:shd w:val="clear" w:color="auto" w:fill="FFFFFF"/>
        </w:rPr>
        <w:lastRenderedPageBreak/>
        <w:t>Belfiore</w:t>
      </w:r>
      <w:proofErr w:type="spellEnd"/>
      <w:r w:rsidRPr="00C95FDD">
        <w:rPr>
          <w:rFonts w:ascii="Times New Roman" w:hAnsi="Times New Roman" w:cs="Times New Roman"/>
          <w:color w:val="000000" w:themeColor="text1"/>
          <w:sz w:val="24"/>
          <w:szCs w:val="24"/>
          <w:shd w:val="clear" w:color="auto" w:fill="FFFFFF"/>
        </w:rPr>
        <w:t>, E. (2022). Is it really about the evidence? Argument, persuasion, and the power of ideas in cultural policy. </w:t>
      </w:r>
      <w:r w:rsidRPr="00C95FDD">
        <w:rPr>
          <w:rFonts w:ascii="Times New Roman" w:hAnsi="Times New Roman" w:cs="Times New Roman"/>
          <w:i/>
          <w:iCs/>
          <w:color w:val="000000" w:themeColor="text1"/>
          <w:sz w:val="24"/>
          <w:szCs w:val="24"/>
          <w:shd w:val="clear" w:color="auto" w:fill="FFFFFF"/>
        </w:rPr>
        <w:t>Cultural Trends</w:t>
      </w:r>
      <w:r w:rsidRPr="00C95FDD">
        <w:rPr>
          <w:rFonts w:ascii="Times New Roman" w:hAnsi="Times New Roman" w:cs="Times New Roman"/>
          <w:color w:val="000000" w:themeColor="text1"/>
          <w:sz w:val="24"/>
          <w:szCs w:val="24"/>
          <w:shd w:val="clear" w:color="auto" w:fill="FFFFFF"/>
        </w:rPr>
        <w:t>, </w:t>
      </w:r>
      <w:r w:rsidRPr="00C95FDD">
        <w:rPr>
          <w:rFonts w:ascii="Times New Roman" w:hAnsi="Times New Roman" w:cs="Times New Roman"/>
          <w:i/>
          <w:iCs/>
          <w:color w:val="000000" w:themeColor="text1"/>
          <w:sz w:val="24"/>
          <w:szCs w:val="24"/>
          <w:shd w:val="clear" w:color="auto" w:fill="FFFFFF"/>
        </w:rPr>
        <w:t>31</w:t>
      </w:r>
      <w:r w:rsidRPr="00C95FDD">
        <w:rPr>
          <w:rFonts w:ascii="Times New Roman" w:hAnsi="Times New Roman" w:cs="Times New Roman"/>
          <w:color w:val="000000" w:themeColor="text1"/>
          <w:sz w:val="24"/>
          <w:szCs w:val="24"/>
          <w:shd w:val="clear" w:color="auto" w:fill="FFFFFF"/>
        </w:rPr>
        <w:t>(4), 293-310.</w:t>
      </w:r>
    </w:p>
    <w:p w:rsidR="00C95FDD" w:rsidRPr="00C95FDD" w:rsidRDefault="00C95FDD" w:rsidP="00C95FDD">
      <w:pPr>
        <w:spacing w:line="480" w:lineRule="auto"/>
        <w:ind w:left="1440" w:hanging="1440"/>
        <w:jc w:val="both"/>
        <w:rPr>
          <w:rFonts w:ascii="Times New Roman" w:hAnsi="Times New Roman" w:cs="Times New Roman"/>
          <w:color w:val="000000" w:themeColor="text1"/>
          <w:sz w:val="24"/>
          <w:szCs w:val="24"/>
          <w:shd w:val="clear" w:color="auto" w:fill="FFFFFF"/>
        </w:rPr>
      </w:pPr>
      <w:r w:rsidRPr="00C95FDD">
        <w:rPr>
          <w:rFonts w:ascii="Times New Roman" w:hAnsi="Times New Roman" w:cs="Times New Roman"/>
          <w:color w:val="000000" w:themeColor="text1"/>
          <w:sz w:val="24"/>
          <w:szCs w:val="24"/>
          <w:shd w:val="clear" w:color="auto" w:fill="FFFFFF"/>
        </w:rPr>
        <w:t xml:space="preserve">Cao, M., </w:t>
      </w:r>
      <w:proofErr w:type="spellStart"/>
      <w:r w:rsidRPr="00C95FDD">
        <w:rPr>
          <w:rFonts w:ascii="Times New Roman" w:hAnsi="Times New Roman" w:cs="Times New Roman"/>
          <w:color w:val="000000" w:themeColor="text1"/>
          <w:sz w:val="24"/>
          <w:szCs w:val="24"/>
          <w:shd w:val="clear" w:color="auto" w:fill="FFFFFF"/>
        </w:rPr>
        <w:t>Duan</w:t>
      </w:r>
      <w:proofErr w:type="spellEnd"/>
      <w:r w:rsidRPr="00C95FDD">
        <w:rPr>
          <w:rFonts w:ascii="Times New Roman" w:hAnsi="Times New Roman" w:cs="Times New Roman"/>
          <w:color w:val="000000" w:themeColor="text1"/>
          <w:sz w:val="24"/>
          <w:szCs w:val="24"/>
          <w:shd w:val="clear" w:color="auto" w:fill="FFFFFF"/>
        </w:rPr>
        <w:t>, K., &amp; Ibrahim, H. (2023). Local Government Debt and Its Impact on Corporate Underinvestment and ESG Performance: Empirical Evidence from China. </w:t>
      </w:r>
      <w:r w:rsidRPr="00C95FDD">
        <w:rPr>
          <w:rFonts w:ascii="Times New Roman" w:hAnsi="Times New Roman" w:cs="Times New Roman"/>
          <w:i/>
          <w:iCs/>
          <w:color w:val="000000" w:themeColor="text1"/>
          <w:sz w:val="24"/>
          <w:szCs w:val="24"/>
          <w:shd w:val="clear" w:color="auto" w:fill="FFFFFF"/>
        </w:rPr>
        <w:t>Sustainability</w:t>
      </w:r>
      <w:r w:rsidRPr="00C95FDD">
        <w:rPr>
          <w:rFonts w:ascii="Times New Roman" w:hAnsi="Times New Roman" w:cs="Times New Roman"/>
          <w:color w:val="000000" w:themeColor="text1"/>
          <w:sz w:val="24"/>
          <w:szCs w:val="24"/>
          <w:shd w:val="clear" w:color="auto" w:fill="FFFFFF"/>
        </w:rPr>
        <w:t>, </w:t>
      </w:r>
      <w:r w:rsidRPr="00C95FDD">
        <w:rPr>
          <w:rFonts w:ascii="Times New Roman" w:hAnsi="Times New Roman" w:cs="Times New Roman"/>
          <w:i/>
          <w:iCs/>
          <w:color w:val="000000" w:themeColor="text1"/>
          <w:sz w:val="24"/>
          <w:szCs w:val="24"/>
          <w:shd w:val="clear" w:color="auto" w:fill="FFFFFF"/>
        </w:rPr>
        <w:t>15</w:t>
      </w:r>
      <w:r w:rsidRPr="00C95FDD">
        <w:rPr>
          <w:rFonts w:ascii="Times New Roman" w:hAnsi="Times New Roman" w:cs="Times New Roman"/>
          <w:color w:val="000000" w:themeColor="text1"/>
          <w:sz w:val="24"/>
          <w:szCs w:val="24"/>
          <w:shd w:val="clear" w:color="auto" w:fill="FFFFFF"/>
        </w:rPr>
        <w:t>(14), 11116.</w:t>
      </w:r>
    </w:p>
    <w:p w:rsidR="00C95FDD" w:rsidRPr="00C95FDD" w:rsidRDefault="00C95FDD" w:rsidP="00C95FDD">
      <w:pPr>
        <w:spacing w:line="480" w:lineRule="auto"/>
        <w:ind w:left="1440" w:hanging="1440"/>
        <w:jc w:val="both"/>
        <w:rPr>
          <w:rFonts w:ascii="Times New Roman" w:hAnsi="Times New Roman" w:cs="Times New Roman"/>
          <w:color w:val="000000" w:themeColor="text1"/>
          <w:sz w:val="24"/>
          <w:szCs w:val="24"/>
          <w:shd w:val="clear" w:color="auto" w:fill="FFFFFF"/>
        </w:rPr>
      </w:pPr>
      <w:proofErr w:type="spellStart"/>
      <w:r w:rsidRPr="00C95FDD">
        <w:rPr>
          <w:rFonts w:ascii="Times New Roman" w:hAnsi="Times New Roman" w:cs="Times New Roman"/>
          <w:color w:val="000000" w:themeColor="text1"/>
          <w:sz w:val="24"/>
          <w:szCs w:val="24"/>
          <w:shd w:val="clear" w:color="auto" w:fill="FFFFFF"/>
        </w:rPr>
        <w:t>Kassen</w:t>
      </w:r>
      <w:proofErr w:type="spellEnd"/>
      <w:r w:rsidRPr="00C95FDD">
        <w:rPr>
          <w:rFonts w:ascii="Times New Roman" w:hAnsi="Times New Roman" w:cs="Times New Roman"/>
          <w:color w:val="000000" w:themeColor="text1"/>
          <w:sz w:val="24"/>
          <w:szCs w:val="24"/>
          <w:shd w:val="clear" w:color="auto" w:fill="FFFFFF"/>
        </w:rPr>
        <w:t xml:space="preserve">, M. (2021). Understanding decentralized civic engagement: Focus on peer-to-peer and </w:t>
      </w:r>
      <w:proofErr w:type="spellStart"/>
      <w:r w:rsidRPr="00C95FDD">
        <w:rPr>
          <w:rFonts w:ascii="Times New Roman" w:hAnsi="Times New Roman" w:cs="Times New Roman"/>
          <w:color w:val="000000" w:themeColor="text1"/>
          <w:sz w:val="24"/>
          <w:szCs w:val="24"/>
          <w:shd w:val="clear" w:color="auto" w:fill="FFFFFF"/>
        </w:rPr>
        <w:t>blockchain</w:t>
      </w:r>
      <w:proofErr w:type="spellEnd"/>
      <w:r w:rsidRPr="00C95FDD">
        <w:rPr>
          <w:rFonts w:ascii="Times New Roman" w:hAnsi="Times New Roman" w:cs="Times New Roman"/>
          <w:color w:val="000000" w:themeColor="text1"/>
          <w:sz w:val="24"/>
          <w:szCs w:val="24"/>
          <w:shd w:val="clear" w:color="auto" w:fill="FFFFFF"/>
        </w:rPr>
        <w:t>-driven perspectives on e-participation. </w:t>
      </w:r>
      <w:r w:rsidRPr="00C95FDD">
        <w:rPr>
          <w:rFonts w:ascii="Times New Roman" w:hAnsi="Times New Roman" w:cs="Times New Roman"/>
          <w:i/>
          <w:iCs/>
          <w:color w:val="000000" w:themeColor="text1"/>
          <w:sz w:val="24"/>
          <w:szCs w:val="24"/>
          <w:shd w:val="clear" w:color="auto" w:fill="FFFFFF"/>
        </w:rPr>
        <w:t>Technology in Society</w:t>
      </w:r>
      <w:r w:rsidRPr="00C95FDD">
        <w:rPr>
          <w:rFonts w:ascii="Times New Roman" w:hAnsi="Times New Roman" w:cs="Times New Roman"/>
          <w:color w:val="000000" w:themeColor="text1"/>
          <w:sz w:val="24"/>
          <w:szCs w:val="24"/>
          <w:shd w:val="clear" w:color="auto" w:fill="FFFFFF"/>
        </w:rPr>
        <w:t>, </w:t>
      </w:r>
      <w:r w:rsidRPr="00C95FDD">
        <w:rPr>
          <w:rFonts w:ascii="Times New Roman" w:hAnsi="Times New Roman" w:cs="Times New Roman"/>
          <w:i/>
          <w:iCs/>
          <w:color w:val="000000" w:themeColor="text1"/>
          <w:sz w:val="24"/>
          <w:szCs w:val="24"/>
          <w:shd w:val="clear" w:color="auto" w:fill="FFFFFF"/>
        </w:rPr>
        <w:t>66</w:t>
      </w:r>
      <w:r w:rsidRPr="00C95FDD">
        <w:rPr>
          <w:rFonts w:ascii="Times New Roman" w:hAnsi="Times New Roman" w:cs="Times New Roman"/>
          <w:color w:val="000000" w:themeColor="text1"/>
          <w:sz w:val="24"/>
          <w:szCs w:val="24"/>
          <w:shd w:val="clear" w:color="auto" w:fill="FFFFFF"/>
        </w:rPr>
        <w:t>, 101650.</w:t>
      </w:r>
    </w:p>
    <w:p w:rsidR="00C95FDD" w:rsidRPr="00C95FDD" w:rsidRDefault="00C95FDD" w:rsidP="00C95FDD">
      <w:pPr>
        <w:spacing w:line="480" w:lineRule="auto"/>
        <w:ind w:left="1440" w:hanging="1440"/>
        <w:jc w:val="both"/>
        <w:rPr>
          <w:rFonts w:ascii="Times New Roman" w:hAnsi="Times New Roman" w:cs="Times New Roman"/>
          <w:color w:val="000000" w:themeColor="text1"/>
          <w:sz w:val="24"/>
          <w:szCs w:val="24"/>
        </w:rPr>
      </w:pPr>
      <w:r w:rsidRPr="00C95FDD">
        <w:rPr>
          <w:rFonts w:ascii="Times New Roman" w:hAnsi="Times New Roman" w:cs="Times New Roman"/>
          <w:color w:val="000000" w:themeColor="text1"/>
          <w:sz w:val="24"/>
          <w:szCs w:val="24"/>
          <w:shd w:val="clear" w:color="auto" w:fill="FFFFFF"/>
        </w:rPr>
        <w:t>Schaffer, A. L., Dobbins, T. A., &amp; Pearson, S. A. (2021). Interrupted time series analysis using autoregressive integrated moving average (ARIMA) models: a guide for evaluating large-scale health interventions. </w:t>
      </w:r>
      <w:r w:rsidRPr="00C95FDD">
        <w:rPr>
          <w:rFonts w:ascii="Times New Roman" w:hAnsi="Times New Roman" w:cs="Times New Roman"/>
          <w:i/>
          <w:iCs/>
          <w:color w:val="000000" w:themeColor="text1"/>
          <w:sz w:val="24"/>
          <w:szCs w:val="24"/>
          <w:shd w:val="clear" w:color="auto" w:fill="FFFFFF"/>
        </w:rPr>
        <w:t>BMC medical research methodology</w:t>
      </w:r>
      <w:r w:rsidRPr="00C95FDD">
        <w:rPr>
          <w:rFonts w:ascii="Times New Roman" w:hAnsi="Times New Roman" w:cs="Times New Roman"/>
          <w:color w:val="000000" w:themeColor="text1"/>
          <w:sz w:val="24"/>
          <w:szCs w:val="24"/>
          <w:shd w:val="clear" w:color="auto" w:fill="FFFFFF"/>
        </w:rPr>
        <w:t>, </w:t>
      </w:r>
      <w:r w:rsidRPr="00C95FDD">
        <w:rPr>
          <w:rFonts w:ascii="Times New Roman" w:hAnsi="Times New Roman" w:cs="Times New Roman"/>
          <w:i/>
          <w:iCs/>
          <w:color w:val="000000" w:themeColor="text1"/>
          <w:sz w:val="24"/>
          <w:szCs w:val="24"/>
          <w:shd w:val="clear" w:color="auto" w:fill="FFFFFF"/>
        </w:rPr>
        <w:t>21</w:t>
      </w:r>
      <w:r w:rsidRPr="00C95FDD">
        <w:rPr>
          <w:rFonts w:ascii="Times New Roman" w:hAnsi="Times New Roman" w:cs="Times New Roman"/>
          <w:color w:val="000000" w:themeColor="text1"/>
          <w:sz w:val="24"/>
          <w:szCs w:val="24"/>
          <w:shd w:val="clear" w:color="auto" w:fill="FFFFFF"/>
        </w:rPr>
        <w:t>(1), 1-12.</w:t>
      </w:r>
    </w:p>
    <w:sectPr w:rsidR="00C95FDD" w:rsidRPr="00C9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5FF"/>
    <w:multiLevelType w:val="hybridMultilevel"/>
    <w:tmpl w:val="35846602"/>
    <w:lvl w:ilvl="0" w:tplc="F6465D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803C1"/>
    <w:multiLevelType w:val="hybridMultilevel"/>
    <w:tmpl w:val="A53463CC"/>
    <w:lvl w:ilvl="0" w:tplc="1470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B1"/>
    <w:rsid w:val="000507C6"/>
    <w:rsid w:val="000C55B1"/>
    <w:rsid w:val="00360695"/>
    <w:rsid w:val="003A5410"/>
    <w:rsid w:val="004A7EE0"/>
    <w:rsid w:val="00616E00"/>
    <w:rsid w:val="00671875"/>
    <w:rsid w:val="00771A03"/>
    <w:rsid w:val="009F3C8F"/>
    <w:rsid w:val="00C95FDD"/>
    <w:rsid w:val="00E23314"/>
    <w:rsid w:val="00FC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CEE2"/>
  <w15:chartTrackingRefBased/>
  <w15:docId w15:val="{E832B598-4F86-44C5-BC94-57C53266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5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5B1"/>
    <w:rPr>
      <w:b/>
      <w:bCs/>
    </w:rPr>
  </w:style>
  <w:style w:type="character" w:customStyle="1" w:styleId="Heading1Char">
    <w:name w:val="Heading 1 Char"/>
    <w:basedOn w:val="DefaultParagraphFont"/>
    <w:link w:val="Heading1"/>
    <w:uiPriority w:val="9"/>
    <w:rsid w:val="00C95F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3475">
      <w:bodyDiv w:val="1"/>
      <w:marLeft w:val="0"/>
      <w:marRight w:val="0"/>
      <w:marTop w:val="0"/>
      <w:marBottom w:val="0"/>
      <w:divBdr>
        <w:top w:val="none" w:sz="0" w:space="0" w:color="auto"/>
        <w:left w:val="none" w:sz="0" w:space="0" w:color="auto"/>
        <w:bottom w:val="none" w:sz="0" w:space="0" w:color="auto"/>
        <w:right w:val="none" w:sz="0" w:space="0" w:color="auto"/>
      </w:divBdr>
    </w:div>
    <w:div w:id="147051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2023-10-22T10:21:00Z</dcterms:created>
  <dcterms:modified xsi:type="dcterms:W3CDTF">2023-10-22T10:21:00Z</dcterms:modified>
</cp:coreProperties>
</file>