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onsolas" w:cs="Consolas" w:eastAsia="Consolas" w:hAnsi="Consolas"/>
          <w:color w:val="8A8577"/>
          <w:spacing w:val="20"/>
          <w:sz w:val="18"/>
          <w:szCs w:val="18"/>
        </w:rPr>
        <w:t xml:space="preserve">WEPRO  ·  SALES &amp; LEASING DIVISION</w:t>
      </w:r>
    </w:p>
    <w:p>
      <w:pPr>
        <w:spacing w:after="240" w:before="240"/>
        <w:jc w:val="center"/>
      </w:pPr>
      <w:r>
        <w:rPr>
          <w:rFonts w:ascii="Cambria" w:cs="Cambria" w:eastAsia="Cambria" w:hAnsi="Cambria"/>
          <w:b/>
          <w:bCs/>
          <w:color w:val="1C1B17"/>
          <w:sz w:val="56"/>
          <w:szCs w:val="56"/>
        </w:rPr>
        <w:t xml:space="preserve">Team Sales Performance Report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C584E"/>
          <w:sz w:val="24"/>
          <w:szCs w:val="24"/>
        </w:rPr>
        <w:t xml:space="preserve">Period: 22 August – 21 September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A8577"/>
          <w:sz w:val="20"/>
          <w:szCs w:val="20"/>
        </w:rPr>
        <w:t xml:space="preserve">Prepared 21 September 2026</w:t>
      </w:r>
    </w:p>
    <w:p>
      <w:pPr>
        <w:spacing w:after="1200"/>
        <w:jc w:val="center"/>
      </w:pPr>
      <w:r>
        <w:rPr>
          <w:rFonts w:ascii="Consolas" w:cs="Consolas" w:eastAsia="Consolas" w:hAnsi="Consolas"/>
          <w:color w:val="8A8577"/>
          <w:sz w:val="16"/>
          <w:szCs w:val="16"/>
        </w:rPr>
        <w:t xml:space="preserve">Source: WhatsApp lead pipeline (Supabase) — 2,022 leads · 8,766 logged activities · 24 active seats · 7 teams</w:t>
      </w:r>
    </w:p>
    <w:p>
      <w:r>
        <w:br w:type="page"/>
      </w:r>
    </w:p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Across 7 sales teams and 24 active seats, this report summarizes the full lifetime of the WhatsApp lead pipeline through 21 September 2026.</w:t>
      </w:r>
    </w:p>
    <w:p>
      <w:pPr>
        <w:spacing w:after="300" w:before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600"/>
        <w:gridCol w:w="2100"/>
      </w:tblGrid>
      <w:tr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Total leads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2,022</w:t>
            </w:r>
          </w:p>
        </w:tc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Connected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1,116  (55%)</w:t>
            </w:r>
          </w:p>
        </w:tc>
      </w:tr>
      <w:tr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Meetings set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366</w:t>
            </w:r>
          </w:p>
        </w:tc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Site visits done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Deals won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5  (7 lost)</w:t>
            </w:r>
          </w:p>
        </w:tc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Revenue closed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BDT 9.87 Cr</w:t>
            </w:r>
          </w:p>
        </w:tc>
      </w:tr>
      <w:tr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Calls logged</w:t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1B17"/>
                <w:sz w:val="20"/>
                <w:szCs w:val="20"/>
              </w:rPr>
              <w:t xml:space="preserve">1,863  (32 talk hrs)</w:t>
            </w:r>
          </w:p>
        </w:tc>
        <w:tc>
          <w:tcPr>
            <w:tcW w:type="dxa" w:w="26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Lead Volume — Last 30 Days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Daily new-lead intake shows a sharp surge beginning 15 September: the four days before this report average 116 leads/day, against a 20/day baseline for the rest of the window.</w:t>
      </w:r>
    </w:p>
    <w:p>
      <w:pPr>
        <w:spacing w:after="240" w:before="120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Pipeline Funnel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Every lead ever logged, by furthest stage reached. Deal Lost and Not Interested are exits; Deal Won is highlighted in green.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600"/>
      </w:tblGrid>
      <w:tr>
        <w:trPr>
          <w:tblHeader/>
        </w:trPr>
        <w:tc>
          <w:tcPr>
            <w:tcW w:type="dxa" w:w="42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26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Leads</w:t>
            </w:r>
          </w:p>
        </w:tc>
        <w:tc>
          <w:tcPr>
            <w:tcW w:type="dxa" w:w="26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New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745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37%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Contacted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455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23%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Interested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93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Meeting Set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329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Visit Scheduled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Visit Done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Negotiating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Deal Won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CA30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23A3A"/>
                <w:sz w:val="18"/>
                <w:szCs w:val="18"/>
              </w:rPr>
              <w:t xml:space="preserve">Deal Lost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B23A3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23A3A"/>
                <w:sz w:val="18"/>
                <w:szCs w:val="18"/>
              </w:rPr>
              <w:t xml:space="preserve">Not Interested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B23A3A"/>
                <w:sz w:val="18"/>
                <w:szCs w:val="18"/>
              </w:rPr>
              <w:t xml:space="preserve">366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18%</w:t>
            </w:r>
          </w:p>
        </w:tc>
      </w:tr>
    </w:tbl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Team Standings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Ranked by closed revenue. Connect rate is the share of a team’s leads ever reached (talked, or advanced past Contacted).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200"/>
        <w:gridCol w:w="1000"/>
        <w:gridCol w:w="900"/>
        <w:gridCol w:w="1700"/>
      </w:tblGrid>
      <w:tr>
        <w:trPr>
          <w:tblHeader/>
        </w:trPr>
        <w:tc>
          <w:tcPr>
            <w:tcW w:type="dxa" w:w="24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[object Object]</w:t>
            </w:r>
          </w:p>
        </w:tc>
        <w:tc>
          <w:tcPr>
            <w:tcW w:type="dxa" w:w="10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Seats</w:t>
            </w:r>
          </w:p>
        </w:tc>
        <w:tc>
          <w:tcPr>
            <w:tcW w:type="dxa" w:w="12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Leads</w:t>
            </w:r>
          </w:p>
        </w:tc>
        <w:tc>
          <w:tcPr>
            <w:tcW w:type="dxa" w:w="12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Connect</w:t>
            </w:r>
          </w:p>
        </w:tc>
        <w:tc>
          <w:tcPr>
            <w:tcW w:type="dxa" w:w="10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9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Won</w:t>
            </w:r>
          </w:p>
        </w:tc>
        <w:tc>
          <w:tcPr>
            <w:tcW w:type="dxa" w:w="17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Revenue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Team Dhaka's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571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50%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1,077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8"/>
                <w:szCs w:val="18"/>
              </w:rPr>
              <w:t xml:space="preserve">BDT 6.43 Cr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Team DUBAI's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510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14%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8"/>
                <w:szCs w:val="18"/>
              </w:rPr>
              <w:t xml:space="preserve">BDT 2.30 Cr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Maruf Alam's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223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84%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122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8"/>
                <w:szCs w:val="18"/>
              </w:rPr>
              <w:t xml:space="preserve">BDT 1.14 Cr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Shabbir Newaz's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247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70%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Masud Chowdhury's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235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94%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215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Hillol Chowdhury's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218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75%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185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Land's Team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55%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Agent Leaderboard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All 24 active seats, ranked by closed revenue then connect rate. † marks a shared desk account (e.g. a team inbox), not an individual rep.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800"/>
        <w:gridCol w:w="900"/>
        <w:gridCol w:w="700"/>
        <w:gridCol w:w="700"/>
        <w:gridCol w:w="700"/>
        <w:gridCol w:w="600"/>
        <w:gridCol w:w="1400"/>
      </w:tblGrid>
      <w:tr>
        <w:trPr>
          <w:tblHeader/>
        </w:trPr>
        <w:tc>
          <w:tcPr>
            <w:tcW w:type="dxa" w:w="15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15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dxa" w:w="12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8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Leads</w:t>
            </w:r>
          </w:p>
        </w:tc>
        <w:tc>
          <w:tcPr>
            <w:tcW w:type="dxa" w:w="9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Connect</w:t>
            </w:r>
          </w:p>
        </w:tc>
        <w:tc>
          <w:tcPr>
            <w:tcW w:type="dxa" w:w="7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7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Meet.</w:t>
            </w:r>
          </w:p>
        </w:tc>
        <w:tc>
          <w:tcPr>
            <w:tcW w:type="dxa" w:w="7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Visits</w:t>
            </w:r>
          </w:p>
        </w:tc>
        <w:tc>
          <w:tcPr>
            <w:tcW w:type="dxa" w:w="6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Won</w:t>
            </w:r>
          </w:p>
        </w:tc>
        <w:tc>
          <w:tcPr>
            <w:tcW w:type="dxa" w:w="14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Revenue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REZAUL HAQUE LIMON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Dhaka's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6"/>
                <w:szCs w:val="16"/>
              </w:rPr>
              <w:t xml:space="preserve">BDT 6.43 Cr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Team DUBAI †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DUBAI's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6"/>
                <w:szCs w:val="16"/>
              </w:rPr>
              <w:t xml:space="preserve">BDT 2.30 Cr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Maruf Alam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Maruf Alam's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75%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CA30C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7406F"/>
                <w:sz w:val="16"/>
                <w:szCs w:val="16"/>
              </w:rPr>
              <w:t xml:space="preserve">BDT 1.14 Cr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Parvez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Shabbir Newaz's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68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Mohidul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Maruf Alam's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119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Obaidullah Bin Faruk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Hillol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58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Shoaib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Masud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Unknown †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Unassigned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Unknown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Anika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Unassigned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Masud Chowdhury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Masud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Meeting (dubai) †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DUBAI's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Hillol Chowdhury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Hillol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Nasrin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Masud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190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93%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196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Kamrul Shikdar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Dhaka's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Meeting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Md.Azizul Haque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Dhaka's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321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67%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542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Any †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Hillol Chowdhury's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159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65%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184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Afrina Rashid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Maruf Alam's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96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65%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116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125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Jannat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Shabbir Newaz's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179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59%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131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Mainul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Land's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Executive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55%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Israt Jahan Tania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Dhaka's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124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94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Dubai(Initial) †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DUBAI's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478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8%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74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Mehjabeen Mumtaha Rahman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Team Dhaka's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93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8%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399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26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Naimul Islam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Unassigned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Initial Agent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B17"/>
                <w:sz w:val="16"/>
                <w:szCs w:val="16"/>
              </w:rPr>
              <w:t xml:space="preserve">Shabbir Newaz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8577"/>
                <w:sz w:val="15"/>
                <w:szCs w:val="15"/>
              </w:rPr>
              <w:t xml:space="preserve">Shabbir Newaz's Team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84E"/>
                <w:sz w:val="14"/>
                <w:szCs w:val="14"/>
              </w:rPr>
              <w:t xml:space="preserve">Team Lead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Lead Source Mix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C1B17"/>
          <w:sz w:val="21"/>
          <w:szCs w:val="21"/>
        </w:rPr>
        <w:t xml:space="preserve">Where the 2,022 leads in this book originated.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600"/>
      </w:tblGrid>
      <w:tr>
        <w:trPr>
          <w:tblHeader/>
        </w:trPr>
        <w:tc>
          <w:tcPr>
            <w:tcW w:type="dxa" w:w="42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6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Leads</w:t>
            </w:r>
          </w:p>
        </w:tc>
        <w:tc>
          <w:tcPr>
            <w:tcW w:type="dxa" w:w="2600"/>
            <w:shd w:fill="1C1B1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WhatsApp Ads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1,492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74%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LinkedIn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250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Event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218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Personal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Unspecified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Team Lead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Meta Ads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B17"/>
                <w:sz w:val="18"/>
                <w:szCs w:val="18"/>
              </w:rPr>
              <w:t xml:space="preserve">Hotline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B1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8577"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1"/>
        <w:pBdr>
          <w:bottom w:val="single" w:color="1C1B17" w:sz="6" w:space="4"/>
        </w:pBdr>
        <w:spacing w:after="160" w:before="420"/>
      </w:pPr>
      <w:r>
        <w:rPr>
          <w:rFonts w:ascii="Cambria" w:cs="Cambria" w:eastAsia="Cambria" w:hAnsi="Cambria"/>
          <w:b/>
          <w:bCs/>
          <w:color w:val="1C1B17"/>
          <w:sz w:val="27"/>
          <w:szCs w:val="27"/>
        </w:rPr>
        <w:t xml:space="preserve">Methodology &amp; Notes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C1B17"/>
          <w:sz w:val="20"/>
          <w:szCs w:val="20"/>
        </w:rPr>
        <w:t xml:space="preserve">Revenue: </w:t>
      </w:r>
      <w:r>
        <w:rPr>
          <w:rFonts w:ascii="Calibri" w:cs="Calibri" w:eastAsia="Calibri" w:hAnsi="Calibri"/>
          <w:color w:val="5C584E"/>
          <w:sz w:val="20"/>
          <w:szCs w:val="20"/>
        </w:rPr>
        <w:t xml:space="preserve">counts only leads with status Deal Won, summed on deal value. 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C1B17"/>
          <w:sz w:val="20"/>
          <w:szCs w:val="20"/>
        </w:rPr>
        <w:t xml:space="preserve">Connect rate: </w:t>
      </w:r>
      <w:r>
        <w:rPr>
          <w:rFonts w:ascii="Calibri" w:cs="Calibri" w:eastAsia="Calibri" w:hAnsi="Calibri"/>
          <w:color w:val="5C584E"/>
          <w:sz w:val="20"/>
          <w:szCs w:val="20"/>
        </w:rPr>
        <w:t xml:space="preserve">share of a person’s leads either flagged talked or that reached Contacted or later, over leads assigned. Calls, meetings and visits are counted from the activity log and lead-record flags, not estimated.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C1B17"/>
          <w:sz w:val="20"/>
          <w:szCs w:val="20"/>
        </w:rPr>
        <w:t xml:space="preserve">Reading the leaderboard: </w:t>
      </w:r>
      <w:r>
        <w:rPr>
          <w:rFonts w:ascii="Calibri" w:cs="Calibri" w:eastAsia="Calibri" w:hAnsi="Calibri"/>
          <w:color w:val="5C584E"/>
          <w:sz w:val="20"/>
          <w:szCs w:val="20"/>
        </w:rPr>
        <w:t xml:space="preserve">Deal Won volume is thin (5 across the whole book), so the revenue column reflects which deals closed, not a stable per-agent close rate. Weight connect rate and call volume more heavily for day-to-day coaching decisions.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C1B17"/>
          <w:sz w:val="20"/>
          <w:szCs w:val="20"/>
        </w:rPr>
        <w:t xml:space="preserve">Shared accounts: </w:t>
      </w:r>
      <w:r>
        <w:rPr>
          <w:rFonts w:ascii="Calibri" w:cs="Calibri" w:eastAsia="Calibri" w:hAnsi="Calibri"/>
          <w:color w:val="5C584E"/>
          <w:sz w:val="20"/>
          <w:szCs w:val="20"/>
        </w:rPr>
        <w:t xml:space="preserve">“Any”, “Team DUBAI”, “Dubai(Initial)” and “Meeting (dubai)” are shared desk accounts routed through a single login, not individual reps — marked † in the leaderboard.</w:t>
      </w:r>
    </w:p>
    <w:p>
      <w:pPr>
        <w:spacing w:before="200"/>
      </w:pPr>
      <w:r>
        <w:rPr>
          <w:rFonts w:ascii="Consolas" w:cs="Consolas" w:eastAsia="Consolas" w:hAnsi="Consolas"/>
          <w:color w:val="8A8577"/>
          <w:sz w:val="16"/>
          <w:szCs w:val="16"/>
        </w:rPr>
        <w:t xml:space="preserve">Report data as of 21 September 2026, 05:11 UTC.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8A8577"/>
        <w:sz w:val="14"/>
        <w:szCs w:val="14"/>
      </w:rPr>
      <w:t xml:space="preserve">Page </w:t>
    </w:r>
    <w:r>
      <w:rPr>
        <w:rFonts w:ascii="Consolas" w:cs="Consolas" w:eastAsia="Consolas" w:hAnsi="Consolas"/>
        <w:color w:val="8A85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8A8577"/>
        <w:sz w:val="14"/>
        <w:szCs w:val="14"/>
      </w:rPr>
      <w:t xml:space="preserve"> of </w:t>
    </w:r>
    <w:r>
      <w:rPr>
        <w:rFonts w:ascii="Consolas" w:cs="Consolas" w:eastAsia="Consolas" w:hAnsi="Consolas"/>
        <w:color w:val="8A85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ED0" w:sz="4" w:space="4"/>
      </w:pBdr>
      <w:jc w:val="right"/>
    </w:pPr>
    <w:r>
      <w:rPr>
        <w:rFonts w:ascii="Consolas" w:cs="Consolas" w:eastAsia="Consolas" w:hAnsi="Consolas"/>
        <w:color w:val="8A8577"/>
        <w:sz w:val="14"/>
        <w:szCs w:val="14"/>
      </w:rPr>
      <w:t xml:space="preserve">wepro — Team Sales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94ca79cc6b8711de433b499be3a4e71808a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2026-09-21T06:08:08.813Z</dcterms:created>
  <dcterms:modified xsi:type="dcterms:W3CDTF">2026-09-21T06:08:08.814Z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