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400"/>
        <w:jc w:val="center"/>
      </w:pPr>
      <w:r>
        <w:rPr>
          <w:b/>
        </w:rPr>
        <w:t>REFINE: EVIDENCE-WEIGHTED RESEARCH GAP VALIDATION</w:t>
      </w:r>
    </w:p>
    <w:p>
      <w:pPr>
        <w:jc w:val="center"/>
      </w:pPr>
      <w:r>
        <w:rPr>
          <w:b w:val="0"/>
        </w:rPr>
        <w:t>An Integrated Framework for Identifying Candidate Research Gaps and Evaluating Them Against Scientific Evidence</w:t>
      </w:r>
    </w:p>
    <w:p>
      <w:pPr>
        <w:jc w:val="center"/>
      </w:pPr>
      <w:r>
        <w:rPr>
          <w:b/>
        </w:rPr>
        <w:t>A PROJECT REPORT</w:t>
      </w:r>
    </w:p>
    <w:p>
      <w:pPr>
        <w:jc w:val="center"/>
      </w:pPr>
      <w:r>
        <w:rPr>
          <w:b w:val="0"/>
        </w:rPr>
        <w:t>Submitted by</w:t>
      </w:r>
    </w:p>
    <w:p>
      <w:pPr>
        <w:jc w:val="center"/>
      </w:pPr>
      <w:r>
        <w:rPr>
          <w:b/>
        </w:rPr>
        <w:t>MUTHUVEAL V – 3122235002075</w:t>
      </w:r>
    </w:p>
    <w:p>
      <w:pPr>
        <w:jc w:val="center"/>
      </w:pPr>
      <w:r>
        <w:rPr>
          <w:b/>
        </w:rPr>
        <w:t>PAVITHRAN M – 3122235002086</w:t>
      </w:r>
    </w:p>
    <w:p>
      <w:pPr>
        <w:jc w:val="center"/>
      </w:pPr>
      <w:r>
        <w:rPr>
          <w:b w:val="0"/>
        </w:rPr>
        <w:t>in partial fulfillment for the award of the degree of</w:t>
      </w:r>
    </w:p>
    <w:p>
      <w:pPr>
        <w:jc w:val="center"/>
      </w:pPr>
      <w:r>
        <w:rPr>
          <w:b/>
        </w:rPr>
        <w:t>BACHELOR OF TECHNOLOGY</w:t>
      </w:r>
    </w:p>
    <w:p>
      <w:pPr>
        <w:jc w:val="center"/>
      </w:pPr>
      <w:r>
        <w:rPr>
          <w:b/>
        </w:rPr>
        <w:t>INFORMATION TECHNOLOGY</w:t>
      </w:r>
    </w:p>
    <w:p>
      <w:pPr>
        <w:jc w:val="center"/>
      </w:pPr>
      <w:r>
        <w:rPr>
          <w:b w:val="0"/>
        </w:rPr>
        <w:t>Sri Sivasubramaniya Nadar College of Engineering</w:t>
      </w:r>
    </w:p>
    <w:p>
      <w:pPr>
        <w:jc w:val="center"/>
      </w:pPr>
      <w:r>
        <w:rPr>
          <w:b w:val="0"/>
        </w:rPr>
        <w:t>(An Autonomous Institution, Affiliated to Anna University)</w:t>
      </w:r>
    </w:p>
    <w:p>
      <w:pPr>
        <w:jc w:val="center"/>
      </w:pPr>
      <w:r>
        <w:rPr>
          <w:b w:val="0"/>
        </w:rPr>
        <w:t>Under the guidance of Dr. P. Sudha</w:t>
      </w:r>
    </w:p>
    <w:p>
      <w:pPr>
        <w:jc w:val="center"/>
      </w:pPr>
      <w:r>
        <w:rPr>
          <w:b w:val="0"/>
        </w:rPr>
        <w:t>Associate Professor, Department of Information Technology</w:t>
      </w:r>
    </w:p>
    <w:p>
      <w:pPr>
        <w:jc w:val="center"/>
      </w:pPr>
      <w:r>
        <w:rPr>
          <w:b/>
        </w:rPr>
        <w:t>OCTOBER 2026</w:t>
      </w:r>
    </w:p>
    <w:p>
      <w:r>
        <w:br w:type="page"/>
      </w:r>
    </w:p>
    <w:p>
      <w:pPr>
        <w:pStyle w:val="Heading1"/>
      </w:pPr>
      <w:r>
        <w:t>BONAFIDE CERTIFICATE</w:t>
      </w:r>
    </w:p>
    <w:p>
      <w:r>
        <w:rPr>
          <w:b w:val="0"/>
        </w:rPr>
        <w:t>Certified that this Report titled “REFINE: Evidence-Weighted Research Gap Validation” is the bonafide work of MUTHUVEAL V (3122235002075) and PAVITHRAN M (3122235002086), who carried out the work under the supervision of Dr. P. Sudha, Associate Professor, Department of Information Technology, Sri Sivasubramaniya Nadar College of Engineering.</w:t>
      </w:r>
    </w:p>
    <w:p>
      <w:r>
        <w:rPr>
          <w:b w:val="0"/>
        </w:rPr>
        <w:t>Certified further that, to the best of our knowledge, the work reported herein does not form part of any other thesis or dissertation on the basis of which a degree or award was conferred on an earlier occasion on this or any other candidate.</w:t>
      </w:r>
    </w:p>
    <w:p>
      <w:r>
        <w:rPr>
          <w:b w:val="0"/>
        </w:rPr>
        <w:br/>
        <w:br/>
        <w:t>______________________________                    ______________________________</w:t>
        <w:br/>
        <w:t>Dr. P. Sudha, Project Guide                          Head of the Department</w:t>
        <w:br/>
        <w:br/>
        <w:t>Submitted for Project Viva-Voce Examination held on __________________________</w:t>
        <w:br/>
        <w:br/>
        <w:br/>
        <w:t>______________________________                    ______________________________</w:t>
        <w:br/>
        <w:t>External Examiner                                      Internal Examiner</w:t>
      </w:r>
    </w:p>
    <w:p>
      <w:r>
        <w:br w:type="page"/>
      </w:r>
    </w:p>
    <w:p>
      <w:pPr>
        <w:pStyle w:val="Heading1"/>
      </w:pPr>
      <w:r>
        <w:t>TABLE OF CONTENTS</w:t>
      </w:r>
    </w:p>
    <w:p>
      <w:r>
        <w:rPr>
          <w:b w:val="0"/>
        </w:rPr>
        <w:t>ABSTRACT</w:t>
      </w:r>
    </w:p>
    <w:p>
      <w:r>
        <w:rPr>
          <w:b w:val="0"/>
        </w:rPr>
        <w:t>CHAPTER 1  INTRODUCTION</w:t>
      </w:r>
    </w:p>
    <w:p>
      <w:r>
        <w:rPr>
          <w:b w:val="0"/>
        </w:rPr>
        <w:t>CHAPTER 2  LITERATURE SURVEY</w:t>
      </w:r>
    </w:p>
    <w:p>
      <w:r>
        <w:rPr>
          <w:b w:val="0"/>
        </w:rPr>
        <w:t>CHAPTER 3  SYSTEM ANALYSIS AND DESIGN</w:t>
      </w:r>
    </w:p>
    <w:p>
      <w:r>
        <w:rPr>
          <w:b w:val="0"/>
        </w:rPr>
        <w:t>CHAPTER 4  METHODOLOGY AND IMPLEMENTATION</w:t>
      </w:r>
    </w:p>
    <w:p>
      <w:r>
        <w:rPr>
          <w:b w:val="0"/>
        </w:rPr>
        <w:t>CHAPTER 5  EVALUATION AND RESULTS</w:t>
      </w:r>
    </w:p>
    <w:p>
      <w:r>
        <w:rPr>
          <w:b w:val="0"/>
        </w:rPr>
        <w:t>CHAPTER 6  DISCUSSION</w:t>
      </w:r>
    </w:p>
    <w:p>
      <w:r>
        <w:rPr>
          <w:b w:val="0"/>
        </w:rPr>
        <w:t>CHAPTER 7  CONCLUSION AND FUTURE SCOPE</w:t>
      </w:r>
    </w:p>
    <w:p>
      <w:r>
        <w:rPr>
          <w:b w:val="0"/>
        </w:rPr>
        <w:t>REFERENCES</w:t>
      </w:r>
    </w:p>
    <w:p>
      <w:r>
        <w:br w:type="page"/>
      </w:r>
    </w:p>
    <w:p>
      <w:pPr>
        <w:pStyle w:val="Heading1"/>
      </w:pPr>
      <w:r>
        <w:t>LIST OF TABLES</w:t>
      </w:r>
    </w:p>
    <w:p>
      <w:r>
        <w:rPr>
          <w:b w:val="0"/>
        </w:rPr>
        <w:t>Table 2.1 Related systems comparison</w:t>
      </w:r>
    </w:p>
    <w:p>
      <w:r>
        <w:rPr>
          <w:b w:val="0"/>
        </w:rPr>
        <w:t>Table 3.1 Functional requirements</w:t>
      </w:r>
    </w:p>
    <w:p>
      <w:r>
        <w:rPr>
          <w:b w:val="0"/>
        </w:rPr>
        <w:t>Table 3.2 Major software modules</w:t>
      </w:r>
    </w:p>
    <w:p>
      <w:r>
        <w:rPr>
          <w:b w:val="0"/>
        </w:rPr>
        <w:t>Table 4.1 Pipeline stages and outputs</w:t>
      </w:r>
    </w:p>
    <w:p>
      <w:r>
        <w:rPr>
          <w:b w:val="0"/>
        </w:rPr>
        <w:t>Table 5.1 Retrieval benchmark results</w:t>
      </w:r>
    </w:p>
    <w:p>
      <w:r>
        <w:rPr>
          <w:b w:val="0"/>
        </w:rPr>
        <w:t>Table 5.2 Evaluation evidence summary</w:t>
      </w:r>
    </w:p>
    <w:p>
      <w:r>
        <w:br w:type="page"/>
      </w:r>
    </w:p>
    <w:p>
      <w:pPr>
        <w:pStyle w:val="Heading1"/>
      </w:pPr>
      <w:r>
        <w:t>LIST OF FIGURES</w:t>
      </w:r>
    </w:p>
    <w:p>
      <w:r>
        <w:rPr>
          <w:b w:val="0"/>
        </w:rPr>
        <w:t>Figure 3.1 REFINE system architecture</w:t>
      </w:r>
    </w:p>
    <w:p>
      <w:r>
        <w:rPr>
          <w:b w:val="0"/>
        </w:rPr>
        <w:t>Figure 4.1 Processing and validation workflow</w:t>
      </w:r>
    </w:p>
    <w:p>
      <w:r>
        <w:br w:type="page"/>
      </w:r>
    </w:p>
    <w:p>
      <w:pPr>
        <w:pStyle w:val="Heading1"/>
      </w:pPr>
      <w:r>
        <w:t>LIST OF SYMBOLS, ABBREVIATIONS AND NOMENCLATURE</w:t>
      </w:r>
    </w:p>
    <w:p>
      <w:r>
        <w:rPr>
          <w:b w:val="0"/>
        </w:rPr>
        <w:t>API – Application Programming Interface</w:t>
      </w:r>
    </w:p>
    <w:p>
      <w:r>
        <w:rPr>
          <w:b w:val="0"/>
        </w:rPr>
        <w:t>BM25 – Best Matching 25</w:t>
      </w:r>
    </w:p>
    <w:p>
      <w:r>
        <w:rPr>
          <w:b w:val="0"/>
        </w:rPr>
        <w:t>EWRGV – Evidence-Weighted Research Gap Validation</w:t>
      </w:r>
    </w:p>
    <w:p>
      <w:r>
        <w:rPr>
          <w:b w:val="0"/>
        </w:rPr>
        <w:t>KG – Knowledge Graph</w:t>
      </w:r>
    </w:p>
    <w:p>
      <w:r>
        <w:rPr>
          <w:b w:val="0"/>
        </w:rPr>
        <w:t>LLM – Large Language Model</w:t>
      </w:r>
    </w:p>
    <w:p>
      <w:r>
        <w:rPr>
          <w:b w:val="0"/>
        </w:rPr>
        <w:t>MAP – Mean Average Precision</w:t>
      </w:r>
    </w:p>
    <w:p>
      <w:r>
        <w:rPr>
          <w:b w:val="0"/>
        </w:rPr>
        <w:t>MRR – Mean Reciprocal Rank</w:t>
      </w:r>
    </w:p>
    <w:p>
      <w:r>
        <w:rPr>
          <w:b w:val="0"/>
        </w:rPr>
        <w:t>nDCG – Normalized Discounted Cumulative Gain</w:t>
      </w:r>
    </w:p>
    <w:p>
      <w:r>
        <w:rPr>
          <w:b w:val="0"/>
        </w:rPr>
        <w:t>RAG – Retrieval-Augmented Generation</w:t>
      </w:r>
    </w:p>
    <w:p>
      <w:r>
        <w:rPr>
          <w:b w:val="0"/>
        </w:rPr>
        <w:t>RRF – Reciprocal Rank Fusion</w:t>
      </w:r>
    </w:p>
    <w:p>
      <w:r>
        <w:br w:type="page"/>
      </w:r>
    </w:p>
    <w:p>
      <w:pPr>
        <w:pStyle w:val="Heading1"/>
      </w:pPr>
      <w:r>
        <w:t>ABSTRACT</w:t>
      </w:r>
    </w:p>
    <w:p>
      <w:r>
        <w:rPr>
          <w:b w:val="0"/>
        </w:rPr>
        <w:t>The growth of scientific publications makes research-gap identification difficult to perform reliably by manual review or a single-pass language-model summary. A system may mistake missing evidence in an incomplete corpus for a genuine gap, overlook related work described with different terminology, or report an unsupported claim without showing how the literature was searched. This project presents REFINE, a research-gap identification and validation system that treats candidate gaps as hypotheses requiring evidence.</w:t>
      </w:r>
    </w:p>
    <w:p>
      <w:r>
        <w:rPr>
          <w:b w:val="0"/>
        </w:rPr>
        <w:t>The implemented application is a Python FastAPI modular monolith. It collects scholarly metadata from OpenAlex and Semantic Scholar, supports open-access full-text acquisition, parses papers into sections and chunks, and prepares dense and sparse representations. Retrieval combines semantic search with BM25 using reciprocal-rank fusion and cross-encoder reranking. A per-run knowledge graph supports four candidate signal families: explicit limitation statements, sparse concept combinations, temporal staleness, and sparse topic clusters. The separate EWRGV workflow searches direct, terminology, method-variation and counter-evidence, assesses evidence and corpus coverage, assigns confidence and one of three statuses, and returns an evidence-chain explanation.</w:t>
      </w:r>
    </w:p>
    <w:p>
      <w:r>
        <w:rPr>
          <w:b w:val="0"/>
        </w:rPr>
        <w:t>The repository contains implementations of the major stages, API routes, persistence adapters, a browser interface and unit/integration test modules. Stages are initiated as separate jobs; job tracking is process-local, so restart-safe end-to-end coordination is not established. Retrieval benchmarks report TREC-COVID BM25 plus reranking P@10 0.666 and nDCG@10 0.585, compared with BM25 0.622 and 0.542. On SciFact dev, BM25 exceeded the tested dense and hybrid configurations. Research-gap precision/recall/F1 and EWRGV three-class accuracy were not measured because the datasets lack compatible gap-status labels. The measurements assess selected retrieval tasks, not gap correctness or deployment readiness.</w:t>
      </w:r>
    </w:p>
    <w:p>
      <w:r>
        <w:rPr>
          <w:b w:val="0"/>
        </w:rPr>
        <w:t>Keywords: research-gap discovery, evidence validation, retrieval-augmented generation, hybrid retrieval, knowledge graph, literature review</w:t>
      </w:r>
    </w:p>
    <w:p>
      <w:r>
        <w:br w:type="page"/>
      </w:r>
    </w:p>
    <w:p>
      <w:pPr>
        <w:jc w:val="center"/>
      </w:pPr>
      <w:r>
        <w:rPr>
          <w:b/>
        </w:rPr>
        <w:t>CHAPTER 1</w:t>
      </w:r>
    </w:p>
    <w:p>
      <w:pPr>
        <w:pStyle w:val="Heading1"/>
      </w:pPr>
      <w:r>
        <w:t>INTRODUCTION</w:t>
      </w:r>
    </w:p>
    <w:p>
      <w:pPr>
        <w:pStyle w:val="Heading2"/>
      </w:pPr>
      <w:r>
        <w:t>1.1 GENERAL</w:t>
      </w:r>
    </w:p>
    <w:p>
      <w:pPr/>
      <w:r>
        <w:t>Scientific research grows through a large, distributed body of publications. Findings, methods, limitations and future work may be spread across venues and described with different terminology. Researchers must identify what has been studied and whether an apparently unexplored combination was already addressed. Search engines retrieve documents, but do not establish that a research gap is real. Large language models can summarize literature, but outputs may reflect incomplete corpora or pretrained knowledge. REFINE separates candidate generation from validation and preserves links to papers and passages.</w:t>
      </w:r>
    </w:p>
    <w:p>
      <w:pPr>
        <w:pStyle w:val="Heading2"/>
      </w:pPr>
      <w:r>
        <w:t>1.2 PROBLEM STATEMENT</w:t>
      </w:r>
    </w:p>
    <w:p>
      <w:pPr/>
      <w:r>
        <w:t>Literature review faces four challenges: fragmented research across publications and indexes; lexical search that misses related work; difficulty synthesizing concepts, methods, datasets and findings across papers; and candidate gaps that remain unverified against supporting and contradicting studies. A trustworthy system should expose its rationale and evidence search.</w:t>
      </w:r>
    </w:p>
    <w:p>
      <w:pPr>
        <w:pStyle w:val="Heading2"/>
      </w:pPr>
      <w:r>
        <w:t>1.3 NEED FOR THE STUDY</w:t>
      </w:r>
    </w:p>
    <w:p>
      <w:pPr/>
      <w:r>
        <w:t>A computational workflow can reduce manual collection and organization while helping researchers inspect candidate gaps. It should show corpus scope, use complementary retrieval, seek counter-evidence and communicate uncertainty when coverage is weak.</w:t>
      </w:r>
    </w:p>
    <w:p>
      <w:pPr>
        <w:pStyle w:val="Heading2"/>
      </w:pPr>
      <w:r>
        <w:t>1.4 OBJECTIVES</w:t>
      </w:r>
    </w:p>
    <w:p>
      <w:pPr>
        <w:pStyle w:val="ListParagraph"/>
      </w:pPr>
      <w:r>
        <w:t>• Collect and deduplicate scholarly records from OpenAlex and Semantic Scholar.</w:t>
      </w:r>
    </w:p>
    <w:p>
      <w:pPr>
        <w:pStyle w:val="ListParagraph"/>
      </w:pPr>
      <w:r>
        <w:t>• Prepare available full text as section-aware chunks with provenance.</w:t>
      </w:r>
    </w:p>
    <w:p>
      <w:pPr>
        <w:pStyle w:val="ListParagraph"/>
      </w:pPr>
      <w:r>
        <w:t>• Use dense and sparse retrieval, rank fusion and cross-encoder reranking.</w:t>
      </w:r>
    </w:p>
    <w:p>
      <w:pPr>
        <w:pStyle w:val="ListParagraph"/>
      </w:pPr>
      <w:r>
        <w:t>• Identify candidates from explicit statements, concept combinations, temporal patterns and topic sparsity.</w:t>
      </w:r>
    </w:p>
    <w:p>
      <w:pPr>
        <w:pStyle w:val="ListParagraph"/>
      </w:pPr>
      <w:r>
        <w:t>• Validate candidates with direct, terminology, method-variation and counter-evidence searches.</w:t>
      </w:r>
    </w:p>
    <w:p>
      <w:pPr>
        <w:pStyle w:val="ListParagraph"/>
      </w:pPr>
      <w:r>
        <w:t>• Return evidence, coverage, confidence, status and traceable explanations.</w:t>
      </w:r>
    </w:p>
    <w:p>
      <w:pPr>
        <w:pStyle w:val="ListParagraph"/>
      </w:pPr>
      <w:r>
        <w:t>• Evaluate retrieval separately from gap-validation quality.</w:t>
      </w:r>
    </w:p>
    <w:p>
      <w:pPr>
        <w:pStyle w:val="Heading2"/>
      </w:pPr>
      <w:r>
        <w:t>1.5 SCOPE</w:t>
      </w:r>
    </w:p>
    <w:p>
      <w:pPr/>
      <w:r>
        <w:t>The repository implements a research MVP with API-based acquisition and analysis stages, modular retrieval and gap logic, persistence adapters and a browser interface. It does not establish a production service, durable workflow engine, calibrated gap-validity probability or expert-validated gap quality. Full-text access and extraction quality vary.</w:t>
      </w:r>
    </w:p>
    <w:p>
      <w:pPr>
        <w:pStyle w:val="Heading2"/>
      </w:pPr>
      <w:r>
        <w:t>1.6 REPORT ORGANIZATION</w:t>
      </w:r>
    </w:p>
    <w:p>
      <w:pPr/>
      <w:r>
        <w:t>Chapter 2 reviews related research; Chapter 3 presents requirements and architecture; Chapter 4 describes methodology; Chapter 5 reports evaluation; Chapter 6 discusses limitations; Chapter 7 concludes and outlines future work.</w:t>
      </w:r>
    </w:p>
    <w:p>
      <w:r>
        <w:br w:type="page"/>
      </w:r>
    </w:p>
    <w:p>
      <w:pPr>
        <w:jc w:val="center"/>
      </w:pPr>
      <w:r>
        <w:rPr>
          <w:b/>
        </w:rPr>
        <w:t>CHAPTER 2</w:t>
      </w:r>
    </w:p>
    <w:p>
      <w:pPr>
        <w:pStyle w:val="Heading1"/>
      </w:pPr>
      <w:r>
        <w:t>LITERATURE SURVEY</w:t>
      </w:r>
    </w:p>
    <w:p>
      <w:pPr>
        <w:pStyle w:val="Heading2"/>
      </w:pPr>
      <w:r>
        <w:t>2.1 LITERATURE RETRIEVAL AND RAG</w:t>
      </w:r>
    </w:p>
    <w:p>
      <w:pPr/>
      <w:r>
        <w:t>Retrieval-augmented generation grounds responses in retrieved documents. Dense retrieval captures semantic similarity, BM25 favors exact terminology, rank fusion combines result lists, and a cross-encoder can refine leading ranks. These stages locate evidence but do not prove a gap exists.</w:t>
      </w:r>
    </w:p>
    <w:p>
      <w:pPr>
        <w:pStyle w:val="Heading2"/>
      </w:pPr>
      <w:r>
        <w:t>2.2 KNOWLEDGE GRAPHS AND GAP SIGNALS</w:t>
      </w:r>
    </w:p>
    <w:p>
      <w:pPr/>
      <w:r>
        <w:t>Knowledge graphs represent relations among papers, methods, tasks, datasets and concepts. REFINE builds a per-run graph and identifies candidates through explicit limitation statements, sparse concept combinations, temporal staleness and sparse topic clusters. Signals are inspectable hypotheses, not labels.</w:t>
      </w:r>
    </w:p>
    <w:p>
      <w:pPr>
        <w:pStyle w:val="Heading2"/>
      </w:pPr>
      <w:r>
        <w:t>2.3 EVIDENCE-WEIGHTED VALIDATION</w:t>
      </w:r>
    </w:p>
    <w:p>
      <w:pPr/>
      <w:r>
        <w:t>Detection and validation are separate. Validation attempts to disconfirm or qualify candidate hypotheses with direct searches, terminology expansion, method variation and mandatory counter-evidence. Evidence and corpus coverage influence confidence and status.</w:t>
      </w:r>
    </w:p>
    <w:p>
      <w:pPr>
        <w:pStyle w:val="Heading2"/>
      </w:pPr>
      <w:r>
        <w:t>2.4 RELATED SYSTEMS</w:t>
      </w:r>
    </w:p>
    <w:p>
      <w:pPr>
        <w:jc w:val="center"/>
      </w:pPr>
      <w:r>
        <w:t>Table 2.1  Comparison of research-gap systems</w:t>
      </w:r>
    </w:p>
    <w:tbl>
      <w:tblPr>
        <w:tblW w:type="auto" w:w="0"/>
        <w:tblLook w:firstColumn="1" w:firstRow="1" w:lastColumn="0" w:lastRow="0" w:noHBand="0" w:noVBand="1" w:val="04A0"/>
      </w:tblPr>
      <w:tblGrid>
        <w:gridCol w:w="2927"/>
        <w:gridCol w:w="2927"/>
        <w:gridCol w:w="2927"/>
      </w:tblGrid>
      <w:tr>
        <w:tc>
          <w:tcPr>
            <w:tcW w:type="dxa" w:w="2927"/>
          </w:tcPr>
          <w:p>
            <w:pPr>
              <w:spacing w:line="240" w:lineRule="auto"/>
            </w:pPr>
            <w:r>
              <w:rPr>
                <w:rFonts w:ascii="Times New Roman" w:hAnsi="Times New Roman"/>
                <w:sz w:val="18"/>
              </w:rPr>
              <w:t>System</w:t>
            </w:r>
          </w:p>
        </w:tc>
        <w:tc>
          <w:tcPr>
            <w:tcW w:type="dxa" w:w="2927"/>
          </w:tcPr>
          <w:p>
            <w:pPr>
              <w:spacing w:line="240" w:lineRule="auto"/>
            </w:pPr>
            <w:r>
              <w:rPr>
                <w:rFonts w:ascii="Times New Roman" w:hAnsi="Times New Roman"/>
                <w:sz w:val="18"/>
              </w:rPr>
              <w:t>Emphasis</w:t>
            </w:r>
          </w:p>
        </w:tc>
        <w:tc>
          <w:tcPr>
            <w:tcW w:type="dxa" w:w="2927"/>
          </w:tcPr>
          <w:p>
            <w:pPr>
              <w:spacing w:line="240" w:lineRule="auto"/>
            </w:pPr>
            <w:r>
              <w:rPr>
                <w:rFonts w:ascii="Times New Roman" w:hAnsi="Times New Roman"/>
                <w:sz w:val="18"/>
              </w:rPr>
              <w:t>Relevance</w:t>
            </w:r>
          </w:p>
        </w:tc>
      </w:tr>
      <w:tr>
        <w:tc>
          <w:tcPr>
            <w:tcW w:type="dxa" w:w="2927"/>
          </w:tcPr>
          <w:p>
            <w:pPr>
              <w:spacing w:line="240" w:lineRule="auto"/>
            </w:pPr>
            <w:r>
              <w:rPr>
                <w:rFonts w:ascii="Times New Roman" w:hAnsi="Times New Roman"/>
                <w:sz w:val="18"/>
              </w:rPr>
              <w:t>HySemRAG [1]</w:t>
            </w:r>
          </w:p>
        </w:tc>
        <w:tc>
          <w:tcPr>
            <w:tcW w:type="dxa" w:w="2927"/>
          </w:tcPr>
          <w:p>
            <w:pPr>
              <w:spacing w:line="240" w:lineRule="auto"/>
            </w:pPr>
            <w:r>
              <w:rPr>
                <w:rFonts w:ascii="Times New Roman" w:hAnsi="Times New Roman"/>
                <w:sz w:val="18"/>
              </w:rPr>
              <w:t>Hybrid semantic retrieval and structured analysis.</w:t>
            </w:r>
          </w:p>
        </w:tc>
        <w:tc>
          <w:tcPr>
            <w:tcW w:type="dxa" w:w="2927"/>
          </w:tcPr>
          <w:p>
            <w:pPr>
              <w:spacing w:line="240" w:lineRule="auto"/>
            </w:pPr>
            <w:r>
              <w:rPr>
                <w:rFonts w:ascii="Times New Roman" w:hAnsi="Times New Roman"/>
                <w:sz w:val="18"/>
              </w:rPr>
              <w:t>Motivates structured fields; results not comparable.</w:t>
            </w:r>
          </w:p>
        </w:tc>
      </w:tr>
      <w:tr>
        <w:tc>
          <w:tcPr>
            <w:tcW w:type="dxa" w:w="2927"/>
          </w:tcPr>
          <w:p>
            <w:pPr>
              <w:spacing w:line="240" w:lineRule="auto"/>
            </w:pPr>
            <w:r>
              <w:rPr>
                <w:rFonts w:ascii="Times New Roman" w:hAnsi="Times New Roman"/>
                <w:sz w:val="18"/>
              </w:rPr>
              <w:t>ResearchRAG [2]</w:t>
            </w:r>
          </w:p>
        </w:tc>
        <w:tc>
          <w:tcPr>
            <w:tcW w:type="dxa" w:w="2927"/>
          </w:tcPr>
          <w:p>
            <w:pPr>
              <w:spacing w:line="240" w:lineRule="auto"/>
            </w:pPr>
            <w:r>
              <w:rPr>
                <w:rFonts w:ascii="Times New Roman" w:hAnsi="Times New Roman"/>
                <w:sz w:val="18"/>
              </w:rPr>
              <w:t>Knowledge-graph-enhanced literature analysis.</w:t>
            </w:r>
          </w:p>
        </w:tc>
        <w:tc>
          <w:tcPr>
            <w:tcW w:type="dxa" w:w="2927"/>
          </w:tcPr>
          <w:p>
            <w:pPr>
              <w:spacing w:line="240" w:lineRule="auto"/>
            </w:pPr>
            <w:r>
              <w:rPr>
                <w:rFonts w:ascii="Times New Roman" w:hAnsi="Times New Roman"/>
                <w:sz w:val="18"/>
              </w:rPr>
              <w:t>Graph-based comparison; different protocol.</w:t>
            </w:r>
          </w:p>
        </w:tc>
      </w:tr>
      <w:tr>
        <w:tc>
          <w:tcPr>
            <w:tcW w:type="dxa" w:w="2927"/>
          </w:tcPr>
          <w:p>
            <w:pPr>
              <w:spacing w:line="240" w:lineRule="auto"/>
            </w:pPr>
            <w:r>
              <w:rPr>
                <w:rFonts w:ascii="Times New Roman" w:hAnsi="Times New Roman"/>
                <w:sz w:val="18"/>
              </w:rPr>
              <w:t>REFINE / EWRGV [3]</w:t>
            </w:r>
          </w:p>
        </w:tc>
        <w:tc>
          <w:tcPr>
            <w:tcW w:type="dxa" w:w="2927"/>
          </w:tcPr>
          <w:p>
            <w:pPr>
              <w:spacing w:line="240" w:lineRule="auto"/>
            </w:pPr>
            <w:r>
              <w:rPr>
                <w:rFonts w:ascii="Times New Roman" w:hAnsi="Times New Roman"/>
                <w:sz w:val="18"/>
              </w:rPr>
              <w:t>Signal candidates followed by evidence validation.</w:t>
            </w:r>
          </w:p>
        </w:tc>
        <w:tc>
          <w:tcPr>
            <w:tcW w:type="dxa" w:w="2927"/>
          </w:tcPr>
          <w:p>
            <w:pPr>
              <w:spacing w:line="240" w:lineRule="auto"/>
            </w:pPr>
            <w:r>
              <w:rPr>
                <w:rFonts w:ascii="Times New Roman" w:hAnsi="Times New Roman"/>
                <w:sz w:val="18"/>
              </w:rPr>
              <w:t>Makes counter-evidence and coverage explicit.</w:t>
            </w:r>
          </w:p>
        </w:tc>
      </w:tr>
    </w:tbl>
    <w:p>
      <w:pPr>
        <w:pStyle w:val="Heading2"/>
      </w:pPr>
      <w:r>
        <w:t>2.5 RESEARCH GAP</w:t>
      </w:r>
    </w:p>
    <w:p>
      <w:pPr/>
      <w:r>
        <w:t>Retrieval or plausible gap generation alone does not show whether prior work addressed a candidate or whether search coverage was adequate. REFINE adds a distinct validation stage and represents uncertainty; effectiveness must still be tested against expert-labeled gap data.</w:t>
      </w:r>
    </w:p>
    <w:p>
      <w:r>
        <w:br w:type="page"/>
      </w:r>
    </w:p>
    <w:p>
      <w:pPr>
        <w:jc w:val="center"/>
      </w:pPr>
      <w:r>
        <w:rPr>
          <w:b/>
        </w:rPr>
        <w:t>CHAPTER 3</w:t>
      </w:r>
    </w:p>
    <w:p>
      <w:pPr>
        <w:pStyle w:val="Heading1"/>
      </w:pPr>
      <w:r>
        <w:t>SYSTEM ANALYSIS AND DESIGN</w:t>
      </w:r>
    </w:p>
    <w:p>
      <w:pPr>
        <w:pStyle w:val="Heading2"/>
      </w:pPr>
      <w:r>
        <w:t>3.1 EXISTING SYSTEM</w:t>
      </w:r>
    </w:p>
    <w:p>
      <w:pPr/>
      <w:r>
        <w:t>Manual reviews require iterative searching, screening, extraction and comparison. Keyword search may miss paraphrases, while single-pass synthesis can omit auditable searches for counterexamples. These methods remain useful but do not guarantee adequate corpus coverage.</w:t>
      </w:r>
    </w:p>
    <w:p>
      <w:pPr>
        <w:pStyle w:val="Heading2"/>
      </w:pPr>
      <w:r>
        <w:t>3.2 PROPOSED SYSTEM</w:t>
      </w:r>
    </w:p>
    <w:p>
      <w:pPr/>
      <w:r>
        <w:t>REFINE is a FastAPI modular monolith with separate application modules and interfaces. PostgreSQL/Supabase-oriented repositories persist metadata, representations, graph data and results; object storage holds PDFs and artifacts. A browser interface presents the staged pipeline.</w:t>
      </w:r>
    </w:p>
    <w:p>
      <w:pPr>
        <w:jc w:val="center"/>
      </w:pPr>
      <w:r>
        <w:t>Figure 3.1  REFINE system architecture</w:t>
      </w:r>
    </w:p>
    <w:tbl>
      <w:tblPr>
        <w:tblW w:type="auto" w:w="0"/>
        <w:tblLook w:firstColumn="1" w:firstRow="1" w:lastColumn="0" w:lastRow="0" w:noHBand="0" w:noVBand="1" w:val="04A0"/>
      </w:tblPr>
      <w:tblGrid>
        <w:gridCol w:w="4390"/>
        <w:gridCol w:w="4390"/>
      </w:tblGrid>
      <w:tr>
        <w:tc>
          <w:tcPr>
            <w:tcW w:type="dxa" w:w="4390"/>
          </w:tcPr>
          <w:p>
            <w:pPr>
              <w:spacing w:line="240" w:lineRule="auto"/>
            </w:pPr>
            <w:r>
              <w:rPr>
                <w:rFonts w:ascii="Times New Roman" w:hAnsi="Times New Roman"/>
                <w:sz w:val="18"/>
              </w:rPr>
              <w:t>Layer</w:t>
            </w:r>
          </w:p>
        </w:tc>
        <w:tc>
          <w:tcPr>
            <w:tcW w:type="dxa" w:w="4390"/>
          </w:tcPr>
          <w:p>
            <w:pPr>
              <w:spacing w:line="240" w:lineRule="auto"/>
            </w:pPr>
            <w:r>
              <w:rPr>
                <w:rFonts w:ascii="Times New Roman" w:hAnsi="Times New Roman"/>
                <w:sz w:val="18"/>
              </w:rPr>
              <w:t>Responsibilities</w:t>
            </w:r>
          </w:p>
        </w:tc>
      </w:tr>
      <w:tr>
        <w:tc>
          <w:tcPr>
            <w:tcW w:type="dxa" w:w="4390"/>
          </w:tcPr>
          <w:p>
            <w:pPr>
              <w:spacing w:line="240" w:lineRule="auto"/>
            </w:pPr>
            <w:r>
              <w:rPr>
                <w:rFonts w:ascii="Times New Roman" w:hAnsi="Times New Roman"/>
                <w:sz w:val="18"/>
              </w:rPr>
              <w:t>Client</w:t>
            </w:r>
          </w:p>
        </w:tc>
        <w:tc>
          <w:tcPr>
            <w:tcW w:type="dxa" w:w="4390"/>
          </w:tcPr>
          <w:p>
            <w:pPr>
              <w:spacing w:line="240" w:lineRule="auto"/>
            </w:pPr>
            <w:r>
              <w:rPr>
                <w:rFonts w:ascii="Times New Roman" w:hAnsi="Times New Roman"/>
                <w:sz w:val="18"/>
              </w:rPr>
              <w:t>Browser / API client submits queries and polls jobs.</w:t>
            </w:r>
          </w:p>
        </w:tc>
      </w:tr>
      <w:tr>
        <w:tc>
          <w:tcPr>
            <w:tcW w:type="dxa" w:w="4390"/>
          </w:tcPr>
          <w:p>
            <w:pPr>
              <w:spacing w:line="240" w:lineRule="auto"/>
            </w:pPr>
            <w:r>
              <w:rPr>
                <w:rFonts w:ascii="Times New Roman" w:hAnsi="Times New Roman"/>
                <w:sz w:val="18"/>
              </w:rPr>
              <w:t>API</w:t>
            </w:r>
          </w:p>
        </w:tc>
        <w:tc>
          <w:tcPr>
            <w:tcW w:type="dxa" w:w="4390"/>
          </w:tcPr>
          <w:p>
            <w:pPr>
              <w:spacing w:line="240" w:lineRule="auto"/>
            </w:pPr>
            <w:r>
              <w:rPr>
                <w:rFonts w:ascii="Times New Roman" w:hAnsi="Times New Roman"/>
                <w:sz w:val="18"/>
              </w:rPr>
              <w:t>FastAPI research, graph, gap and validation routes.</w:t>
            </w:r>
          </w:p>
        </w:tc>
      </w:tr>
      <w:tr>
        <w:tc>
          <w:tcPr>
            <w:tcW w:type="dxa" w:w="4390"/>
          </w:tcPr>
          <w:p>
            <w:pPr>
              <w:spacing w:line="240" w:lineRule="auto"/>
            </w:pPr>
            <w:r>
              <w:rPr>
                <w:rFonts w:ascii="Times New Roman" w:hAnsi="Times New Roman"/>
                <w:sz w:val="18"/>
              </w:rPr>
              <w:t>Ingestion</w:t>
            </w:r>
          </w:p>
        </w:tc>
        <w:tc>
          <w:tcPr>
            <w:tcW w:type="dxa" w:w="4390"/>
          </w:tcPr>
          <w:p>
            <w:pPr>
              <w:spacing w:line="240" w:lineRule="auto"/>
            </w:pPr>
            <w:r>
              <w:rPr>
                <w:rFonts w:ascii="Times New Roman" w:hAnsi="Times New Roman"/>
                <w:sz w:val="18"/>
              </w:rPr>
              <w:t>Collection, acquisition, parsing, sectioning and chunking.</w:t>
            </w:r>
          </w:p>
        </w:tc>
      </w:tr>
      <w:tr>
        <w:tc>
          <w:tcPr>
            <w:tcW w:type="dxa" w:w="4390"/>
          </w:tcPr>
          <w:p>
            <w:pPr>
              <w:spacing w:line="240" w:lineRule="auto"/>
            </w:pPr>
            <w:r>
              <w:rPr>
                <w:rFonts w:ascii="Times New Roman" w:hAnsi="Times New Roman"/>
                <w:sz w:val="18"/>
              </w:rPr>
              <w:t>Analysis</w:t>
            </w:r>
          </w:p>
        </w:tc>
        <w:tc>
          <w:tcPr>
            <w:tcW w:type="dxa" w:w="4390"/>
          </w:tcPr>
          <w:p>
            <w:pPr>
              <w:spacing w:line="240" w:lineRule="auto"/>
            </w:pPr>
            <w:r>
              <w:rPr>
                <w:rFonts w:ascii="Times New Roman" w:hAnsi="Times New Roman"/>
                <w:sz w:val="18"/>
              </w:rPr>
              <w:t>Embedding, retrieval, reranking, graph and validation.</w:t>
            </w:r>
          </w:p>
        </w:tc>
      </w:tr>
      <w:tr>
        <w:tc>
          <w:tcPr>
            <w:tcW w:type="dxa" w:w="4390"/>
          </w:tcPr>
          <w:p>
            <w:pPr>
              <w:spacing w:line="240" w:lineRule="auto"/>
            </w:pPr>
            <w:r>
              <w:rPr>
                <w:rFonts w:ascii="Times New Roman" w:hAnsi="Times New Roman"/>
                <w:sz w:val="18"/>
              </w:rPr>
              <w:t>Providers</w:t>
            </w:r>
          </w:p>
        </w:tc>
        <w:tc>
          <w:tcPr>
            <w:tcW w:type="dxa" w:w="4390"/>
          </w:tcPr>
          <w:p>
            <w:pPr>
              <w:spacing w:line="240" w:lineRule="auto"/>
            </w:pPr>
            <w:r>
              <w:rPr>
                <w:rFonts w:ascii="Times New Roman" w:hAnsi="Times New Roman"/>
                <w:sz w:val="18"/>
              </w:rPr>
              <w:t>OpenAlex, Semantic Scholar, embedding and optional LLM adapters.</w:t>
            </w:r>
          </w:p>
        </w:tc>
      </w:tr>
      <w:tr>
        <w:tc>
          <w:tcPr>
            <w:tcW w:type="dxa" w:w="4390"/>
          </w:tcPr>
          <w:p>
            <w:pPr>
              <w:spacing w:line="240" w:lineRule="auto"/>
            </w:pPr>
            <w:r>
              <w:rPr>
                <w:rFonts w:ascii="Times New Roman" w:hAnsi="Times New Roman"/>
                <w:sz w:val="18"/>
              </w:rPr>
              <w:t>Persistence</w:t>
            </w:r>
          </w:p>
        </w:tc>
        <w:tc>
          <w:tcPr>
            <w:tcW w:type="dxa" w:w="4390"/>
          </w:tcPr>
          <w:p>
            <w:pPr>
              <w:spacing w:line="240" w:lineRule="auto"/>
            </w:pPr>
            <w:r>
              <w:rPr>
                <w:rFonts w:ascii="Times New Roman" w:hAnsi="Times New Roman"/>
                <w:sz w:val="18"/>
              </w:rPr>
              <w:t>PostgreSQL/Supabase and object storage.</w:t>
            </w:r>
          </w:p>
        </w:tc>
      </w:tr>
    </w:tbl>
    <w:p>
      <w:pPr>
        <w:pStyle w:val="Heading2"/>
      </w:pPr>
      <w:r>
        <w:t>3.3 FUNCTIONAL REQUIREMENTS</w:t>
      </w:r>
    </w:p>
    <w:tbl>
      <w:tblPr>
        <w:tblW w:type="auto" w:w="0"/>
        <w:tblLook w:firstColumn="1" w:firstRow="1" w:lastColumn="0" w:lastRow="0" w:noHBand="0" w:noVBand="1" w:val="04A0"/>
      </w:tblPr>
      <w:tblGrid>
        <w:gridCol w:w="4390"/>
        <w:gridCol w:w="4390"/>
      </w:tblGrid>
      <w:tr>
        <w:tc>
          <w:tcPr>
            <w:tcW w:type="dxa" w:w="4390"/>
          </w:tcPr>
          <w:p>
            <w:pPr>
              <w:spacing w:line="240" w:lineRule="auto"/>
            </w:pPr>
            <w:r>
              <w:rPr>
                <w:rFonts w:ascii="Times New Roman" w:hAnsi="Times New Roman"/>
                <w:sz w:val="18"/>
              </w:rPr>
              <w:t>ID</w:t>
            </w:r>
          </w:p>
        </w:tc>
        <w:tc>
          <w:tcPr>
            <w:tcW w:type="dxa" w:w="4390"/>
          </w:tcPr>
          <w:p>
            <w:pPr>
              <w:spacing w:line="240" w:lineRule="auto"/>
            </w:pPr>
            <w:r>
              <w:rPr>
                <w:rFonts w:ascii="Times New Roman" w:hAnsi="Times New Roman"/>
                <w:sz w:val="18"/>
              </w:rPr>
              <w:t>Requirement</w:t>
            </w:r>
          </w:p>
        </w:tc>
      </w:tr>
      <w:tr>
        <w:tc>
          <w:tcPr>
            <w:tcW w:type="dxa" w:w="4390"/>
          </w:tcPr>
          <w:p>
            <w:pPr>
              <w:spacing w:line="240" w:lineRule="auto"/>
            </w:pPr>
            <w:r>
              <w:rPr>
                <w:rFonts w:ascii="Times New Roman" w:hAnsi="Times New Roman"/>
                <w:sz w:val="18"/>
              </w:rPr>
              <w:t>FR1</w:t>
            </w:r>
          </w:p>
        </w:tc>
        <w:tc>
          <w:tcPr>
            <w:tcW w:type="dxa" w:w="4390"/>
          </w:tcPr>
          <w:p>
            <w:pPr>
              <w:spacing w:line="240" w:lineRule="auto"/>
            </w:pPr>
            <w:r>
              <w:rPr>
                <w:rFonts w:ascii="Times New Roman" w:hAnsi="Times New Roman"/>
                <w:sz w:val="18"/>
              </w:rPr>
              <w:t>Understand a question and expand search concepts.</w:t>
            </w:r>
          </w:p>
        </w:tc>
      </w:tr>
      <w:tr>
        <w:tc>
          <w:tcPr>
            <w:tcW w:type="dxa" w:w="4390"/>
          </w:tcPr>
          <w:p>
            <w:pPr>
              <w:spacing w:line="240" w:lineRule="auto"/>
            </w:pPr>
            <w:r>
              <w:rPr>
                <w:rFonts w:ascii="Times New Roman" w:hAnsi="Times New Roman"/>
                <w:sz w:val="18"/>
              </w:rPr>
              <w:t>FR2</w:t>
            </w:r>
          </w:p>
        </w:tc>
        <w:tc>
          <w:tcPr>
            <w:tcW w:type="dxa" w:w="4390"/>
          </w:tcPr>
          <w:p>
            <w:pPr>
              <w:spacing w:line="240" w:lineRule="auto"/>
            </w:pPr>
            <w:r>
              <w:rPr>
                <w:rFonts w:ascii="Times New Roman" w:hAnsi="Times New Roman"/>
                <w:sz w:val="18"/>
              </w:rPr>
              <w:t>Collect and deduplicate scholarly records.</w:t>
            </w:r>
          </w:p>
        </w:tc>
      </w:tr>
      <w:tr>
        <w:tc>
          <w:tcPr>
            <w:tcW w:type="dxa" w:w="4390"/>
          </w:tcPr>
          <w:p>
            <w:pPr>
              <w:spacing w:line="240" w:lineRule="auto"/>
            </w:pPr>
            <w:r>
              <w:rPr>
                <w:rFonts w:ascii="Times New Roman" w:hAnsi="Times New Roman"/>
                <w:sz w:val="18"/>
              </w:rPr>
              <w:t>FR3</w:t>
            </w:r>
          </w:p>
        </w:tc>
        <w:tc>
          <w:tcPr>
            <w:tcW w:type="dxa" w:w="4390"/>
          </w:tcPr>
          <w:p>
            <w:pPr>
              <w:spacing w:line="240" w:lineRule="auto"/>
            </w:pPr>
            <w:r>
              <w:rPr>
                <w:rFonts w:ascii="Times New Roman" w:hAnsi="Times New Roman"/>
                <w:sz w:val="18"/>
              </w:rPr>
              <w:t>Acquire available full text and create section-aware chunks.</w:t>
            </w:r>
          </w:p>
        </w:tc>
      </w:tr>
      <w:tr>
        <w:tc>
          <w:tcPr>
            <w:tcW w:type="dxa" w:w="4390"/>
          </w:tcPr>
          <w:p>
            <w:pPr>
              <w:spacing w:line="240" w:lineRule="auto"/>
            </w:pPr>
            <w:r>
              <w:rPr>
                <w:rFonts w:ascii="Times New Roman" w:hAnsi="Times New Roman"/>
                <w:sz w:val="18"/>
              </w:rPr>
              <w:t>FR4</w:t>
            </w:r>
          </w:p>
        </w:tc>
        <w:tc>
          <w:tcPr>
            <w:tcW w:type="dxa" w:w="4390"/>
          </w:tcPr>
          <w:p>
            <w:pPr>
              <w:spacing w:line="240" w:lineRule="auto"/>
            </w:pPr>
            <w:r>
              <w:rPr>
                <w:rFonts w:ascii="Times New Roman" w:hAnsi="Times New Roman"/>
                <w:sz w:val="18"/>
              </w:rPr>
              <w:t>Retrieve ranked evidence passages.</w:t>
            </w:r>
          </w:p>
        </w:tc>
      </w:tr>
      <w:tr>
        <w:tc>
          <w:tcPr>
            <w:tcW w:type="dxa" w:w="4390"/>
          </w:tcPr>
          <w:p>
            <w:pPr>
              <w:spacing w:line="240" w:lineRule="auto"/>
            </w:pPr>
            <w:r>
              <w:rPr>
                <w:rFonts w:ascii="Times New Roman" w:hAnsi="Times New Roman"/>
                <w:sz w:val="18"/>
              </w:rPr>
              <w:t>FR5</w:t>
            </w:r>
          </w:p>
        </w:tc>
        <w:tc>
          <w:tcPr>
            <w:tcW w:type="dxa" w:w="4390"/>
          </w:tcPr>
          <w:p>
            <w:pPr>
              <w:spacing w:line="240" w:lineRule="auto"/>
            </w:pPr>
            <w:r>
              <w:rPr>
                <w:rFonts w:ascii="Times New Roman" w:hAnsi="Times New Roman"/>
                <w:sz w:val="18"/>
              </w:rPr>
              <w:t>Build a graph and rank candidate gaps with provenance.</w:t>
            </w:r>
          </w:p>
        </w:tc>
      </w:tr>
      <w:tr>
        <w:tc>
          <w:tcPr>
            <w:tcW w:type="dxa" w:w="4390"/>
          </w:tcPr>
          <w:p>
            <w:pPr>
              <w:spacing w:line="240" w:lineRule="auto"/>
            </w:pPr>
            <w:r>
              <w:rPr>
                <w:rFonts w:ascii="Times New Roman" w:hAnsi="Times New Roman"/>
                <w:sz w:val="18"/>
              </w:rPr>
              <w:t>FR6</w:t>
            </w:r>
          </w:p>
        </w:tc>
        <w:tc>
          <w:tcPr>
            <w:tcW w:type="dxa" w:w="4390"/>
          </w:tcPr>
          <w:p>
            <w:pPr>
              <w:spacing w:line="240" w:lineRule="auto"/>
            </w:pPr>
            <w:r>
              <w:rPr>
                <w:rFonts w:ascii="Times New Roman" w:hAnsi="Times New Roman"/>
                <w:sz w:val="18"/>
              </w:rPr>
              <w:t>Return validation evidence, coverage, confidence and explanation.</w:t>
            </w:r>
          </w:p>
        </w:tc>
      </w:tr>
      <w:tr>
        <w:tc>
          <w:tcPr>
            <w:tcW w:type="dxa" w:w="4390"/>
          </w:tcPr>
          <w:p>
            <w:pPr>
              <w:spacing w:line="240" w:lineRule="auto"/>
            </w:pPr>
            <w:r>
              <w:rPr>
                <w:rFonts w:ascii="Times New Roman" w:hAnsi="Times New Roman"/>
                <w:sz w:val="18"/>
              </w:rPr>
              <w:t>FR7</w:t>
            </w:r>
          </w:p>
        </w:tc>
        <w:tc>
          <w:tcPr>
            <w:tcW w:type="dxa" w:w="4390"/>
          </w:tcPr>
          <w:p>
            <w:pPr>
              <w:spacing w:line="240" w:lineRule="auto"/>
            </w:pPr>
            <w:r>
              <w:rPr>
                <w:rFonts w:ascii="Times New Roman" w:hAnsi="Times New Roman"/>
                <w:sz w:val="18"/>
              </w:rPr>
              <w:t>Expose job status and results through API and browser.</w:t>
            </w:r>
          </w:p>
        </w:tc>
      </w:tr>
    </w:tbl>
    <w:p>
      <w:pPr>
        <w:pStyle w:val="Heading2"/>
      </w:pPr>
      <w:r>
        <w:t>3.4 NON-FUNCTIONAL REQUIREMENTS</w:t>
      </w:r>
    </w:p>
    <w:p>
      <w:pPr>
        <w:pStyle w:val="ListParagraph"/>
      </w:pPr>
      <w:r>
        <w:t>• Traceability: retain paper, section and passage provenance.</w:t>
      </w:r>
    </w:p>
    <w:p>
      <w:pPr>
        <w:pStyle w:val="ListParagraph"/>
      </w:pPr>
      <w:r>
        <w:t>• Modularity: support replaceable providers and persistence.</w:t>
      </w:r>
    </w:p>
    <w:p>
      <w:pPr>
        <w:pStyle w:val="ListParagraph"/>
      </w:pPr>
      <w:r>
        <w:t>• Failure visibility: do not treat source failures as negative evidence.</w:t>
      </w:r>
    </w:p>
    <w:p>
      <w:pPr>
        <w:pStyle w:val="ListParagraph"/>
      </w:pPr>
      <w:r>
        <w:t>• Uncertainty: expose weak evidence and coverage.</w:t>
      </w:r>
    </w:p>
    <w:p>
      <w:pPr>
        <w:pStyle w:val="ListParagraph"/>
      </w:pPr>
      <w:r>
        <w:t>• Operational resilience: durable status, retries and recovery are needed; current jobs are process-local.</w:t>
      </w:r>
    </w:p>
    <w:p>
      <w:pPr>
        <w:pStyle w:val="Heading2"/>
      </w:pPr>
      <w:r>
        <w:t>3.5 MAJOR SOFTWARE MODULES</w:t>
      </w:r>
    </w:p>
    <w:tbl>
      <w:tblPr>
        <w:tblW w:type="auto" w:w="0"/>
        <w:tblLook w:firstColumn="1" w:firstRow="1" w:lastColumn="0" w:lastRow="0" w:noHBand="0" w:noVBand="1" w:val="04A0"/>
      </w:tblPr>
      <w:tblGrid>
        <w:gridCol w:w="4390"/>
        <w:gridCol w:w="4390"/>
      </w:tblGrid>
      <w:tr>
        <w:tc>
          <w:tcPr>
            <w:tcW w:type="dxa" w:w="4390"/>
          </w:tcPr>
          <w:p>
            <w:pPr>
              <w:spacing w:line="240" w:lineRule="auto"/>
            </w:pPr>
            <w:r>
              <w:rPr>
                <w:rFonts w:ascii="Times New Roman" w:hAnsi="Times New Roman"/>
                <w:sz w:val="18"/>
              </w:rPr>
              <w:t>Package</w:t>
            </w:r>
          </w:p>
        </w:tc>
        <w:tc>
          <w:tcPr>
            <w:tcW w:type="dxa" w:w="4390"/>
          </w:tcPr>
          <w:p>
            <w:pPr>
              <w:spacing w:line="240" w:lineRule="auto"/>
            </w:pPr>
            <w:r>
              <w:rPr>
                <w:rFonts w:ascii="Times New Roman" w:hAnsi="Times New Roman"/>
                <w:sz w:val="18"/>
              </w:rPr>
              <w:t>Responsibility</w:t>
            </w:r>
          </w:p>
        </w:tc>
      </w:tr>
      <w:tr>
        <w:tc>
          <w:tcPr>
            <w:tcW w:type="dxa" w:w="4390"/>
          </w:tcPr>
          <w:p>
            <w:pPr>
              <w:spacing w:line="240" w:lineRule="auto"/>
            </w:pPr>
            <w:r>
              <w:rPr>
                <w:rFonts w:ascii="Times New Roman" w:hAnsi="Times New Roman"/>
                <w:sz w:val="18"/>
              </w:rPr>
              <w:t>app/api, app/main.py</w:t>
            </w:r>
          </w:p>
        </w:tc>
        <w:tc>
          <w:tcPr>
            <w:tcW w:type="dxa" w:w="4390"/>
          </w:tcPr>
          <w:p>
            <w:pPr>
              <w:spacing w:line="240" w:lineRule="auto"/>
            </w:pPr>
            <w:r>
              <w:rPr>
                <w:rFonts w:ascii="Times New Roman" w:hAnsi="Times New Roman"/>
                <w:sz w:val="18"/>
              </w:rPr>
              <w:t>App setup and HTTP routes.</w:t>
            </w:r>
          </w:p>
        </w:tc>
      </w:tr>
      <w:tr>
        <w:tc>
          <w:tcPr>
            <w:tcW w:type="dxa" w:w="4390"/>
          </w:tcPr>
          <w:p>
            <w:pPr>
              <w:spacing w:line="240" w:lineRule="auto"/>
            </w:pPr>
            <w:r>
              <w:rPr>
                <w:rFonts w:ascii="Times New Roman" w:hAnsi="Times New Roman"/>
                <w:sz w:val="18"/>
              </w:rPr>
              <w:t>app/ingestion</w:t>
            </w:r>
          </w:p>
        </w:tc>
        <w:tc>
          <w:tcPr>
            <w:tcW w:type="dxa" w:w="4390"/>
          </w:tcPr>
          <w:p>
            <w:pPr>
              <w:spacing w:line="240" w:lineRule="auto"/>
            </w:pPr>
            <w:r>
              <w:rPr>
                <w:rFonts w:ascii="Times New Roman" w:hAnsi="Times New Roman"/>
                <w:sz w:val="18"/>
              </w:rPr>
              <w:t>Collection through representation.</w:t>
            </w:r>
          </w:p>
        </w:tc>
      </w:tr>
      <w:tr>
        <w:tc>
          <w:tcPr>
            <w:tcW w:type="dxa" w:w="4390"/>
          </w:tcPr>
          <w:p>
            <w:pPr>
              <w:spacing w:line="240" w:lineRule="auto"/>
            </w:pPr>
            <w:r>
              <w:rPr>
                <w:rFonts w:ascii="Times New Roman" w:hAnsi="Times New Roman"/>
                <w:sz w:val="18"/>
              </w:rPr>
              <w:t>app/retrieval</w:t>
            </w:r>
          </w:p>
        </w:tc>
        <w:tc>
          <w:tcPr>
            <w:tcW w:type="dxa" w:w="4390"/>
          </w:tcPr>
          <w:p>
            <w:pPr>
              <w:spacing w:line="240" w:lineRule="auto"/>
            </w:pPr>
            <w:r>
              <w:rPr>
                <w:rFonts w:ascii="Times New Roman" w:hAnsi="Times New Roman"/>
                <w:sz w:val="18"/>
              </w:rPr>
              <w:t>Dense/sparse retrieval, fusion and reranking.</w:t>
            </w:r>
          </w:p>
        </w:tc>
      </w:tr>
      <w:tr>
        <w:tc>
          <w:tcPr>
            <w:tcW w:type="dxa" w:w="4390"/>
          </w:tcPr>
          <w:p>
            <w:pPr>
              <w:spacing w:line="240" w:lineRule="auto"/>
            </w:pPr>
            <w:r>
              <w:rPr>
                <w:rFonts w:ascii="Times New Roman" w:hAnsi="Times New Roman"/>
                <w:sz w:val="18"/>
              </w:rPr>
              <w:t>app/knowledge_graph</w:t>
            </w:r>
          </w:p>
        </w:tc>
        <w:tc>
          <w:tcPr>
            <w:tcW w:type="dxa" w:w="4390"/>
          </w:tcPr>
          <w:p>
            <w:pPr>
              <w:spacing w:line="240" w:lineRule="auto"/>
            </w:pPr>
            <w:r>
              <w:rPr>
                <w:rFonts w:ascii="Times New Roman" w:hAnsi="Times New Roman"/>
                <w:sz w:val="18"/>
              </w:rPr>
              <w:t>Per-run graph construction.</w:t>
            </w:r>
          </w:p>
        </w:tc>
      </w:tr>
      <w:tr>
        <w:tc>
          <w:tcPr>
            <w:tcW w:type="dxa" w:w="4390"/>
          </w:tcPr>
          <w:p>
            <w:pPr>
              <w:spacing w:line="240" w:lineRule="auto"/>
            </w:pPr>
            <w:r>
              <w:rPr>
                <w:rFonts w:ascii="Times New Roman" w:hAnsi="Times New Roman"/>
                <w:sz w:val="18"/>
              </w:rPr>
              <w:t>app/gap_detection</w:t>
            </w:r>
          </w:p>
        </w:tc>
        <w:tc>
          <w:tcPr>
            <w:tcW w:type="dxa" w:w="4390"/>
          </w:tcPr>
          <w:p>
            <w:pPr>
              <w:spacing w:line="240" w:lineRule="auto"/>
            </w:pPr>
            <w:r>
              <w:rPr>
                <w:rFonts w:ascii="Times New Roman" w:hAnsi="Times New Roman"/>
                <w:sz w:val="18"/>
              </w:rPr>
              <w:t>Signals, scoring and candidate ranking.</w:t>
            </w:r>
          </w:p>
        </w:tc>
      </w:tr>
      <w:tr>
        <w:tc>
          <w:tcPr>
            <w:tcW w:type="dxa" w:w="4390"/>
          </w:tcPr>
          <w:p>
            <w:pPr>
              <w:spacing w:line="240" w:lineRule="auto"/>
            </w:pPr>
            <w:r>
              <w:rPr>
                <w:rFonts w:ascii="Times New Roman" w:hAnsi="Times New Roman"/>
                <w:sz w:val="18"/>
              </w:rPr>
              <w:t>app/validation, evidence, coverage</w:t>
            </w:r>
          </w:p>
        </w:tc>
        <w:tc>
          <w:tcPr>
            <w:tcW w:type="dxa" w:w="4390"/>
          </w:tcPr>
          <w:p>
            <w:pPr>
              <w:spacing w:line="240" w:lineRule="auto"/>
            </w:pPr>
            <w:r>
              <w:rPr>
                <w:rFonts w:ascii="Times New Roman" w:hAnsi="Times New Roman"/>
                <w:sz w:val="18"/>
              </w:rPr>
              <w:t>Verification searches and evidence analysis.</w:t>
            </w:r>
          </w:p>
        </w:tc>
      </w:tr>
      <w:tr>
        <w:tc>
          <w:tcPr>
            <w:tcW w:type="dxa" w:w="4390"/>
          </w:tcPr>
          <w:p>
            <w:pPr>
              <w:spacing w:line="240" w:lineRule="auto"/>
            </w:pPr>
            <w:r>
              <w:rPr>
                <w:rFonts w:ascii="Times New Roman" w:hAnsi="Times New Roman"/>
                <w:sz w:val="18"/>
              </w:rPr>
              <w:t>app/scoring, explanation</w:t>
            </w:r>
          </w:p>
        </w:tc>
        <w:tc>
          <w:tcPr>
            <w:tcW w:type="dxa" w:w="4390"/>
          </w:tcPr>
          <w:p>
            <w:pPr>
              <w:spacing w:line="240" w:lineRule="auto"/>
            </w:pPr>
            <w:r>
              <w:rPr>
                <w:rFonts w:ascii="Times New Roman" w:hAnsi="Times New Roman"/>
                <w:sz w:val="18"/>
              </w:rPr>
              <w:t>Confidence, status and explanations.</w:t>
            </w:r>
          </w:p>
        </w:tc>
      </w:tr>
      <w:tr>
        <w:tc>
          <w:tcPr>
            <w:tcW w:type="dxa" w:w="4390"/>
          </w:tcPr>
          <w:p>
            <w:pPr>
              <w:spacing w:line="240" w:lineRule="auto"/>
            </w:pPr>
            <w:r>
              <w:rPr>
                <w:rFonts w:ascii="Times New Roman" w:hAnsi="Times New Roman"/>
                <w:sz w:val="18"/>
              </w:rPr>
              <w:t>app/providers, storage, ui</w:t>
            </w:r>
          </w:p>
        </w:tc>
        <w:tc>
          <w:tcPr>
            <w:tcW w:type="dxa" w:w="4390"/>
          </w:tcPr>
          <w:p>
            <w:pPr>
              <w:spacing w:line="240" w:lineRule="auto"/>
            </w:pPr>
            <w:r>
              <w:rPr>
                <w:rFonts w:ascii="Times New Roman" w:hAnsi="Times New Roman"/>
                <w:sz w:val="18"/>
              </w:rPr>
              <w:t>Adapters, persistence and interface.</w:t>
            </w:r>
          </w:p>
        </w:tc>
      </w:tr>
    </w:tbl>
    <w:p>
      <w:pPr>
        <w:pStyle w:val="Heading2"/>
      </w:pPr>
      <w:r>
        <w:t>3.6 DATA FLOW</w:t>
      </w:r>
    </w:p>
    <w:p>
      <w:pPr/>
      <w:r>
        <w:t>A query is expanded and collected; separate jobs acquire and process documents, create chunks and representations, retrieve evidence, build a graph and identify candidates. Validation searches for evidence for and against each candidate. Results are persisted and displayed. Stages are separately triggered and prerequisite-gated; no durable automatic coordinator is implemented.</w:t>
      </w:r>
    </w:p>
    <w:p>
      <w:r>
        <w:br w:type="page"/>
      </w:r>
    </w:p>
    <w:p>
      <w:pPr>
        <w:jc w:val="center"/>
      </w:pPr>
      <w:r>
        <w:rPr>
          <w:b/>
        </w:rPr>
        <w:t>CHAPTER 4</w:t>
      </w:r>
    </w:p>
    <w:p>
      <w:pPr>
        <w:pStyle w:val="Heading1"/>
      </w:pPr>
      <w:r>
        <w:t>METHODOLOGY AND IMPLEMENTATION</w:t>
      </w:r>
    </w:p>
    <w:p>
      <w:pPr>
        <w:pStyle w:val="Heading2"/>
      </w:pPr>
      <w:r>
        <w:t>4.1 OVERALL METHODOLOGY</w:t>
      </w:r>
    </w:p>
    <w:p>
      <w:pPr/>
      <w:r>
        <w:t>The staged workflow transforms literature into analysis-ready representations. Candidate generation is isolated from validation so no signal or optional language-model proposal alone determines a final classification.</w:t>
      </w:r>
    </w:p>
    <w:p>
      <w:pPr>
        <w:jc w:val="center"/>
      </w:pPr>
      <w:r>
        <w:t>Figure 4.1  Research processing and validation workflow</w:t>
      </w:r>
    </w:p>
    <w:tbl>
      <w:tblPr>
        <w:tblW w:type="auto" w:w="0"/>
        <w:tblLook w:firstColumn="1" w:firstRow="1" w:lastColumn="0" w:lastRow="0" w:noHBand="0" w:noVBand="1" w:val="04A0"/>
      </w:tblPr>
      <w:tblGrid>
        <w:gridCol w:w="2927"/>
        <w:gridCol w:w="2927"/>
        <w:gridCol w:w="2927"/>
      </w:tblGrid>
      <w:tr>
        <w:tc>
          <w:tcPr>
            <w:tcW w:type="dxa" w:w="2927"/>
          </w:tcPr>
          <w:p>
            <w:pPr>
              <w:spacing w:line="240" w:lineRule="auto"/>
            </w:pPr>
            <w:r>
              <w:rPr>
                <w:rFonts w:ascii="Times New Roman" w:hAnsi="Times New Roman"/>
                <w:sz w:val="18"/>
              </w:rPr>
              <w:t>Stage</w:t>
            </w:r>
          </w:p>
        </w:tc>
        <w:tc>
          <w:tcPr>
            <w:tcW w:type="dxa" w:w="2927"/>
          </w:tcPr>
          <w:p>
            <w:pPr>
              <w:spacing w:line="240" w:lineRule="auto"/>
            </w:pPr>
            <w:r>
              <w:rPr>
                <w:rFonts w:ascii="Times New Roman" w:hAnsi="Times New Roman"/>
                <w:sz w:val="18"/>
              </w:rPr>
              <w:t>Operation</w:t>
            </w:r>
          </w:p>
        </w:tc>
        <w:tc>
          <w:tcPr>
            <w:tcW w:type="dxa" w:w="2927"/>
          </w:tcPr>
          <w:p>
            <w:pPr>
              <w:spacing w:line="240" w:lineRule="auto"/>
            </w:pPr>
            <w:r>
              <w:rPr>
                <w:rFonts w:ascii="Times New Roman" w:hAnsi="Times New Roman"/>
                <w:sz w:val="18"/>
              </w:rPr>
              <w:t>Output</w:t>
            </w:r>
          </w:p>
        </w:tc>
      </w:tr>
      <w:tr>
        <w:tc>
          <w:tcPr>
            <w:tcW w:type="dxa" w:w="2927"/>
          </w:tcPr>
          <w:p>
            <w:pPr>
              <w:spacing w:line="240" w:lineRule="auto"/>
            </w:pPr>
            <w:r>
              <w:rPr>
                <w:rFonts w:ascii="Times New Roman" w:hAnsi="Times New Roman"/>
                <w:sz w:val="18"/>
              </w:rPr>
              <w:t>1</w:t>
            </w:r>
          </w:p>
        </w:tc>
        <w:tc>
          <w:tcPr>
            <w:tcW w:type="dxa" w:w="2927"/>
          </w:tcPr>
          <w:p>
            <w:pPr>
              <w:spacing w:line="240" w:lineRule="auto"/>
            </w:pPr>
            <w:r>
              <w:rPr>
                <w:rFonts w:ascii="Times New Roman" w:hAnsi="Times New Roman"/>
                <w:sz w:val="18"/>
              </w:rPr>
              <w:t>Query understanding / expansion</w:t>
            </w:r>
          </w:p>
        </w:tc>
        <w:tc>
          <w:tcPr>
            <w:tcW w:type="dxa" w:w="2927"/>
          </w:tcPr>
          <w:p>
            <w:pPr>
              <w:spacing w:line="240" w:lineRule="auto"/>
            </w:pPr>
            <w:r>
              <w:rPr>
                <w:rFonts w:ascii="Times New Roman" w:hAnsi="Times New Roman"/>
                <w:sz w:val="18"/>
              </w:rPr>
              <w:t>Concepts, methods and search variants.</w:t>
            </w:r>
          </w:p>
        </w:tc>
      </w:tr>
      <w:tr>
        <w:tc>
          <w:tcPr>
            <w:tcW w:type="dxa" w:w="2927"/>
          </w:tcPr>
          <w:p>
            <w:pPr>
              <w:spacing w:line="240" w:lineRule="auto"/>
            </w:pPr>
            <w:r>
              <w:rPr>
                <w:rFonts w:ascii="Times New Roman" w:hAnsi="Times New Roman"/>
                <w:sz w:val="18"/>
              </w:rPr>
              <w:t>2</w:t>
            </w:r>
          </w:p>
        </w:tc>
        <w:tc>
          <w:tcPr>
            <w:tcW w:type="dxa" w:w="2927"/>
          </w:tcPr>
          <w:p>
            <w:pPr>
              <w:spacing w:line="240" w:lineRule="auto"/>
            </w:pPr>
            <w:r>
              <w:rPr>
                <w:rFonts w:ascii="Times New Roman" w:hAnsi="Times New Roman"/>
                <w:sz w:val="18"/>
              </w:rPr>
              <w:t>Literature collection</w:t>
            </w:r>
          </w:p>
        </w:tc>
        <w:tc>
          <w:tcPr>
            <w:tcW w:type="dxa" w:w="2927"/>
          </w:tcPr>
          <w:p>
            <w:pPr>
              <w:spacing w:line="240" w:lineRule="auto"/>
            </w:pPr>
            <w:r>
              <w:rPr>
                <w:rFonts w:ascii="Times New Roman" w:hAnsi="Times New Roman"/>
                <w:sz w:val="18"/>
              </w:rPr>
              <w:t>Paper metadata and source provenance.</w:t>
            </w:r>
          </w:p>
        </w:tc>
      </w:tr>
      <w:tr>
        <w:tc>
          <w:tcPr>
            <w:tcW w:type="dxa" w:w="2927"/>
          </w:tcPr>
          <w:p>
            <w:pPr>
              <w:spacing w:line="240" w:lineRule="auto"/>
            </w:pPr>
            <w:r>
              <w:rPr>
                <w:rFonts w:ascii="Times New Roman" w:hAnsi="Times New Roman"/>
                <w:sz w:val="18"/>
              </w:rPr>
              <w:t>3</w:t>
            </w:r>
          </w:p>
        </w:tc>
        <w:tc>
          <w:tcPr>
            <w:tcW w:type="dxa" w:w="2927"/>
          </w:tcPr>
          <w:p>
            <w:pPr>
              <w:spacing w:line="240" w:lineRule="auto"/>
            </w:pPr>
            <w:r>
              <w:rPr>
                <w:rFonts w:ascii="Times New Roman" w:hAnsi="Times New Roman"/>
                <w:sz w:val="18"/>
              </w:rPr>
              <w:t>Corpus preparation</w:t>
            </w:r>
          </w:p>
        </w:tc>
        <w:tc>
          <w:tcPr>
            <w:tcW w:type="dxa" w:w="2927"/>
          </w:tcPr>
          <w:p>
            <w:pPr>
              <w:spacing w:line="240" w:lineRule="auto"/>
            </w:pPr>
            <w:r>
              <w:rPr>
                <w:rFonts w:ascii="Times New Roman" w:hAnsi="Times New Roman"/>
                <w:sz w:val="18"/>
              </w:rPr>
              <w:t>PDFs, parsed text, sections, chunks and representations.</w:t>
            </w:r>
          </w:p>
        </w:tc>
      </w:tr>
      <w:tr>
        <w:tc>
          <w:tcPr>
            <w:tcW w:type="dxa" w:w="2927"/>
          </w:tcPr>
          <w:p>
            <w:pPr>
              <w:spacing w:line="240" w:lineRule="auto"/>
            </w:pPr>
            <w:r>
              <w:rPr>
                <w:rFonts w:ascii="Times New Roman" w:hAnsi="Times New Roman"/>
                <w:sz w:val="18"/>
              </w:rPr>
              <w:t>4</w:t>
            </w:r>
          </w:p>
        </w:tc>
        <w:tc>
          <w:tcPr>
            <w:tcW w:type="dxa" w:w="2927"/>
          </w:tcPr>
          <w:p>
            <w:pPr>
              <w:spacing w:line="240" w:lineRule="auto"/>
            </w:pPr>
            <w:r>
              <w:rPr>
                <w:rFonts w:ascii="Times New Roman" w:hAnsi="Times New Roman"/>
                <w:sz w:val="18"/>
              </w:rPr>
              <w:t>Hybrid retrieval</w:t>
            </w:r>
          </w:p>
        </w:tc>
        <w:tc>
          <w:tcPr>
            <w:tcW w:type="dxa" w:w="2927"/>
          </w:tcPr>
          <w:p>
            <w:pPr>
              <w:spacing w:line="240" w:lineRule="auto"/>
            </w:pPr>
            <w:r>
              <w:rPr>
                <w:rFonts w:ascii="Times New Roman" w:hAnsi="Times New Roman"/>
                <w:sz w:val="18"/>
              </w:rPr>
              <w:t>Dense + BM25 rankings, RRF fusion and reranked passages.</w:t>
            </w:r>
          </w:p>
        </w:tc>
      </w:tr>
      <w:tr>
        <w:tc>
          <w:tcPr>
            <w:tcW w:type="dxa" w:w="2927"/>
          </w:tcPr>
          <w:p>
            <w:pPr>
              <w:spacing w:line="240" w:lineRule="auto"/>
            </w:pPr>
            <w:r>
              <w:rPr>
                <w:rFonts w:ascii="Times New Roman" w:hAnsi="Times New Roman"/>
                <w:sz w:val="18"/>
              </w:rPr>
              <w:t>5</w:t>
            </w:r>
          </w:p>
        </w:tc>
        <w:tc>
          <w:tcPr>
            <w:tcW w:type="dxa" w:w="2927"/>
          </w:tcPr>
          <w:p>
            <w:pPr>
              <w:spacing w:line="240" w:lineRule="auto"/>
            </w:pPr>
            <w:r>
              <w:rPr>
                <w:rFonts w:ascii="Times New Roman" w:hAnsi="Times New Roman"/>
                <w:sz w:val="18"/>
              </w:rPr>
              <w:t>Graph and candidates</w:t>
            </w:r>
          </w:p>
        </w:tc>
        <w:tc>
          <w:tcPr>
            <w:tcW w:type="dxa" w:w="2927"/>
          </w:tcPr>
          <w:p>
            <w:pPr>
              <w:spacing w:line="240" w:lineRule="auto"/>
            </w:pPr>
            <w:r>
              <w:rPr>
                <w:rFonts w:ascii="Times New Roman" w:hAnsi="Times New Roman"/>
                <w:sz w:val="18"/>
              </w:rPr>
              <w:t>Per-run graph and ranked signal candidates.</w:t>
            </w:r>
          </w:p>
        </w:tc>
      </w:tr>
      <w:tr>
        <w:tc>
          <w:tcPr>
            <w:tcW w:type="dxa" w:w="2927"/>
          </w:tcPr>
          <w:p>
            <w:pPr>
              <w:spacing w:line="240" w:lineRule="auto"/>
            </w:pPr>
            <w:r>
              <w:rPr>
                <w:rFonts w:ascii="Times New Roman" w:hAnsi="Times New Roman"/>
                <w:sz w:val="18"/>
              </w:rPr>
              <w:t>6</w:t>
            </w:r>
          </w:p>
        </w:tc>
        <w:tc>
          <w:tcPr>
            <w:tcW w:type="dxa" w:w="2927"/>
          </w:tcPr>
          <w:p>
            <w:pPr>
              <w:spacing w:line="240" w:lineRule="auto"/>
            </w:pPr>
            <w:r>
              <w:rPr>
                <w:rFonts w:ascii="Times New Roman" w:hAnsi="Times New Roman"/>
                <w:sz w:val="18"/>
              </w:rPr>
              <w:t>EWRGV validation</w:t>
            </w:r>
          </w:p>
        </w:tc>
        <w:tc>
          <w:tcPr>
            <w:tcW w:type="dxa" w:w="2927"/>
          </w:tcPr>
          <w:p>
            <w:pPr>
              <w:spacing w:line="240" w:lineRule="auto"/>
            </w:pPr>
            <w:r>
              <w:rPr>
                <w:rFonts w:ascii="Times New Roman" w:hAnsi="Times New Roman"/>
                <w:sz w:val="18"/>
              </w:rPr>
              <w:t>Evidence, coverage, confidence, status and explanation.</w:t>
            </w:r>
          </w:p>
        </w:tc>
      </w:tr>
    </w:tbl>
    <w:p>
      <w:pPr>
        <w:pStyle w:val="Heading2"/>
      </w:pPr>
      <w:r>
        <w:t>4.2 COLLECTION AND CORPUS PREPARATION</w:t>
      </w:r>
    </w:p>
    <w:p>
      <w:pPr/>
      <w:r>
        <w:t>Collectors query scholarly providers and normalize records. Deduplication reduces repeated records. Open-access discovery acquires available full text. Parsing extracts PDF text; sectioning identifies and classifies document sections; chunking preserves paper and section context. OCR for scanned PDFs is not established in the reviewed implementation.</w:t>
      </w:r>
    </w:p>
    <w:p>
      <w:pPr>
        <w:pStyle w:val="Heading2"/>
      </w:pPr>
      <w:r>
        <w:t>4.3 HYBRID RETRIEVAL</w:t>
      </w:r>
    </w:p>
    <w:p>
      <w:pPr/>
      <w:r>
        <w:t>Dense retrieval embeds queries and chunks; BM25 provides lexical matching. Reciprocal Rank Fusion combines rankings, and a cross-encoder reranks leading results. The reported benchmark configuration used BAAI/bge-small-en-v1.5 (384 dimensions), RRF k=60, depth 100 and ms-marco-MiniLM-L-6-v2 on the leading 50 results. Model names were recorded, but immutable revisions were not pinned.</w:t>
      </w:r>
    </w:p>
    <w:p>
      <w:pPr>
        <w:pStyle w:val="Heading2"/>
      </w:pPr>
      <w:r>
        <w:t>4.4 CANDIDATE IDENTIFICATION</w:t>
      </w:r>
    </w:p>
    <w:p>
      <w:pPr/>
      <w:r>
        <w:t>Four main signal families surface candidates: explicit limitation/future-work statements; infrequent combinations of concepts; temporal staleness; and sparse topic regions. Signals are fused and ranked, then grounded with retrieved passages. Optional LLM proposals or wording refinement are supplementary; they do not remove the requirement for validation.</w:t>
      </w:r>
    </w:p>
    <w:p>
      <w:pPr>
        <w:pStyle w:val="Heading2"/>
      </w:pPr>
      <w:r>
        <w:t>4.5 EWRGV VALIDATION</w:t>
      </w:r>
    </w:p>
    <w:p>
      <w:pPr>
        <w:pStyle w:val="ListParagraph"/>
      </w:pPr>
      <w:r>
        <w:t>• Generate verification queries from the structured candidate.</w:t>
      </w:r>
    </w:p>
    <w:p>
      <w:pPr>
        <w:pStyle w:val="ListParagraph"/>
      </w:pPr>
      <w:r>
        <w:t>• Search directly for the gap statement and its central concepts.</w:t>
      </w:r>
    </w:p>
    <w:p>
      <w:pPr>
        <w:pStyle w:val="ListParagraph"/>
      </w:pPr>
      <w:r>
        <w:t>• Expand terminology to synonyms and alternative expressions.</w:t>
      </w:r>
    </w:p>
    <w:p>
      <w:pPr>
        <w:pStyle w:val="ListParagraph"/>
      </w:pPr>
      <w:r>
        <w:t>• Search related methodological framings.</w:t>
      </w:r>
    </w:p>
    <w:p>
      <w:pPr>
        <w:pStyle w:val="ListParagraph"/>
      </w:pPr>
      <w:r>
        <w:t>• Actively search for counter-evidence.</w:t>
      </w:r>
    </w:p>
    <w:p>
      <w:pPr>
        <w:pStyle w:val="ListParagraph"/>
      </w:pPr>
      <w:r>
        <w:t>• Classify and aggregate evidence while preserving provenance.</w:t>
      </w:r>
    </w:p>
    <w:p>
      <w:pPr>
        <w:pStyle w:val="ListParagraph"/>
      </w:pPr>
      <w:r>
        <w:t>• Assess retrieval, concept, terminology, method and corpus coverage.</w:t>
      </w:r>
    </w:p>
    <w:p>
      <w:pPr>
        <w:pStyle w:val="ListParagraph"/>
      </w:pPr>
      <w:r>
        <w:t>• Assign confidence and VALID_GAP, UNCERTAIN_GAP or UNSUPPORTED_GAP; provide an evidence-chain explanation.</w:t>
      </w:r>
    </w:p>
    <w:p>
      <w:pPr/>
      <w:r>
        <w:t>The labels describe system outputs, not calibrated probabilities. “Unsupported” can reflect insufficient evidence rather than definitive proof that no gap exists.</w:t>
      </w:r>
    </w:p>
    <w:p>
      <w:pPr>
        <w:pStyle w:val="Heading2"/>
      </w:pPr>
      <w:r>
        <w:t>4.6 IMPLEMENTATION TECHNOLOGY</w:t>
      </w:r>
    </w:p>
    <w:tbl>
      <w:tblPr>
        <w:tblW w:type="auto" w:w="0"/>
        <w:tblLook w:firstColumn="1" w:firstRow="1" w:lastColumn="0" w:lastRow="0" w:noHBand="0" w:noVBand="1" w:val="04A0"/>
      </w:tblPr>
      <w:tblGrid>
        <w:gridCol w:w="4390"/>
        <w:gridCol w:w="4390"/>
      </w:tblGrid>
      <w:tr>
        <w:tc>
          <w:tcPr>
            <w:tcW w:type="dxa" w:w="4390"/>
          </w:tcPr>
          <w:p>
            <w:pPr>
              <w:spacing w:line="240" w:lineRule="auto"/>
            </w:pPr>
            <w:r>
              <w:rPr>
                <w:rFonts w:ascii="Times New Roman" w:hAnsi="Times New Roman"/>
                <w:sz w:val="18"/>
              </w:rPr>
              <w:t>Area</w:t>
            </w:r>
          </w:p>
        </w:tc>
        <w:tc>
          <w:tcPr>
            <w:tcW w:type="dxa" w:w="4390"/>
          </w:tcPr>
          <w:p>
            <w:pPr>
              <w:spacing w:line="240" w:lineRule="auto"/>
            </w:pPr>
            <w:r>
              <w:rPr>
                <w:rFonts w:ascii="Times New Roman" w:hAnsi="Times New Roman"/>
                <w:sz w:val="18"/>
              </w:rPr>
              <w:t>Implementation evidence</w:t>
            </w:r>
          </w:p>
        </w:tc>
      </w:tr>
      <w:tr>
        <w:tc>
          <w:tcPr>
            <w:tcW w:type="dxa" w:w="4390"/>
          </w:tcPr>
          <w:p>
            <w:pPr>
              <w:spacing w:line="240" w:lineRule="auto"/>
            </w:pPr>
            <w:r>
              <w:rPr>
                <w:rFonts w:ascii="Times New Roman" w:hAnsi="Times New Roman"/>
                <w:sz w:val="18"/>
              </w:rPr>
              <w:t>API</w:t>
            </w:r>
          </w:p>
        </w:tc>
        <w:tc>
          <w:tcPr>
            <w:tcW w:type="dxa" w:w="4390"/>
          </w:tcPr>
          <w:p>
            <w:pPr>
              <w:spacing w:line="240" w:lineRule="auto"/>
            </w:pPr>
            <w:r>
              <w:rPr>
                <w:rFonts w:ascii="Times New Roman" w:hAnsi="Times New Roman"/>
                <w:sz w:val="18"/>
              </w:rPr>
              <w:t>Python FastAPI and Pydantic domain models.</w:t>
            </w:r>
          </w:p>
        </w:tc>
      </w:tr>
      <w:tr>
        <w:tc>
          <w:tcPr>
            <w:tcW w:type="dxa" w:w="4390"/>
          </w:tcPr>
          <w:p>
            <w:pPr>
              <w:spacing w:line="240" w:lineRule="auto"/>
            </w:pPr>
            <w:r>
              <w:rPr>
                <w:rFonts w:ascii="Times New Roman" w:hAnsi="Times New Roman"/>
                <w:sz w:val="18"/>
              </w:rPr>
              <w:t>Persistence</w:t>
            </w:r>
          </w:p>
        </w:tc>
        <w:tc>
          <w:tcPr>
            <w:tcW w:type="dxa" w:w="4390"/>
          </w:tcPr>
          <w:p>
            <w:pPr>
              <w:spacing w:line="240" w:lineRule="auto"/>
            </w:pPr>
            <w:r>
              <w:rPr>
                <w:rFonts w:ascii="Times New Roman" w:hAnsi="Times New Roman"/>
                <w:sz w:val="18"/>
              </w:rPr>
              <w:t>PostgreSQL/Supabase repositories, pgvector and object storage adapters.</w:t>
            </w:r>
          </w:p>
        </w:tc>
      </w:tr>
      <w:tr>
        <w:tc>
          <w:tcPr>
            <w:tcW w:type="dxa" w:w="4390"/>
          </w:tcPr>
          <w:p>
            <w:pPr>
              <w:spacing w:line="240" w:lineRule="auto"/>
            </w:pPr>
            <w:r>
              <w:rPr>
                <w:rFonts w:ascii="Times New Roman" w:hAnsi="Times New Roman"/>
                <w:sz w:val="18"/>
              </w:rPr>
              <w:t>Sources</w:t>
            </w:r>
          </w:p>
        </w:tc>
        <w:tc>
          <w:tcPr>
            <w:tcW w:type="dxa" w:w="4390"/>
          </w:tcPr>
          <w:p>
            <w:pPr>
              <w:spacing w:line="240" w:lineRule="auto"/>
            </w:pPr>
            <w:r>
              <w:rPr>
                <w:rFonts w:ascii="Times New Roman" w:hAnsi="Times New Roman"/>
                <w:sz w:val="18"/>
              </w:rPr>
              <w:t>OpenAlex and Semantic Scholar.</w:t>
            </w:r>
          </w:p>
        </w:tc>
      </w:tr>
      <w:tr>
        <w:tc>
          <w:tcPr>
            <w:tcW w:type="dxa" w:w="4390"/>
          </w:tcPr>
          <w:p>
            <w:pPr>
              <w:spacing w:line="240" w:lineRule="auto"/>
            </w:pPr>
            <w:r>
              <w:rPr>
                <w:rFonts w:ascii="Times New Roman" w:hAnsi="Times New Roman"/>
                <w:sz w:val="18"/>
              </w:rPr>
              <w:t>Retrieval</w:t>
            </w:r>
          </w:p>
        </w:tc>
        <w:tc>
          <w:tcPr>
            <w:tcW w:type="dxa" w:w="4390"/>
          </w:tcPr>
          <w:p>
            <w:pPr>
              <w:spacing w:line="240" w:lineRule="auto"/>
            </w:pPr>
            <w:r>
              <w:rPr>
                <w:rFonts w:ascii="Times New Roman" w:hAnsi="Times New Roman"/>
                <w:sz w:val="18"/>
              </w:rPr>
              <w:t>Embeddings, BM25, reciprocal-rank fusion and cross-encoder.</w:t>
            </w:r>
          </w:p>
        </w:tc>
      </w:tr>
      <w:tr>
        <w:tc>
          <w:tcPr>
            <w:tcW w:type="dxa" w:w="4390"/>
          </w:tcPr>
          <w:p>
            <w:pPr>
              <w:spacing w:line="240" w:lineRule="auto"/>
            </w:pPr>
            <w:r>
              <w:rPr>
                <w:rFonts w:ascii="Times New Roman" w:hAnsi="Times New Roman"/>
                <w:sz w:val="18"/>
              </w:rPr>
              <w:t>Graph</w:t>
            </w:r>
          </w:p>
        </w:tc>
        <w:tc>
          <w:tcPr>
            <w:tcW w:type="dxa" w:w="4390"/>
          </w:tcPr>
          <w:p>
            <w:pPr>
              <w:spacing w:line="240" w:lineRule="auto"/>
            </w:pPr>
            <w:r>
              <w:rPr>
                <w:rFonts w:ascii="Times New Roman" w:hAnsi="Times New Roman"/>
                <w:sz w:val="18"/>
              </w:rPr>
              <w:t>In-process per-run graph, with persisted graph/candidate records.</w:t>
            </w:r>
          </w:p>
        </w:tc>
      </w:tr>
      <w:tr>
        <w:tc>
          <w:tcPr>
            <w:tcW w:type="dxa" w:w="4390"/>
          </w:tcPr>
          <w:p>
            <w:pPr>
              <w:spacing w:line="240" w:lineRule="auto"/>
            </w:pPr>
            <w:r>
              <w:rPr>
                <w:rFonts w:ascii="Times New Roman" w:hAnsi="Times New Roman"/>
                <w:sz w:val="18"/>
              </w:rPr>
              <w:t>Interface</w:t>
            </w:r>
          </w:p>
        </w:tc>
        <w:tc>
          <w:tcPr>
            <w:tcW w:type="dxa" w:w="4390"/>
          </w:tcPr>
          <w:p>
            <w:pPr>
              <w:spacing w:line="240" w:lineRule="auto"/>
            </w:pPr>
            <w:r>
              <w:rPr>
                <w:rFonts w:ascii="Times New Roman" w:hAnsi="Times New Roman"/>
                <w:sz w:val="18"/>
              </w:rPr>
              <w:t>Static browser UI served by API.</w:t>
            </w:r>
          </w:p>
        </w:tc>
      </w:tr>
      <w:tr>
        <w:tc>
          <w:tcPr>
            <w:tcW w:type="dxa" w:w="4390"/>
          </w:tcPr>
          <w:p>
            <w:pPr>
              <w:spacing w:line="240" w:lineRule="auto"/>
            </w:pPr>
            <w:r>
              <w:rPr>
                <w:rFonts w:ascii="Times New Roman" w:hAnsi="Times New Roman"/>
                <w:sz w:val="18"/>
              </w:rPr>
              <w:t>Background work</w:t>
            </w:r>
          </w:p>
        </w:tc>
        <w:tc>
          <w:tcPr>
            <w:tcW w:type="dxa" w:w="4390"/>
          </w:tcPr>
          <w:p>
            <w:pPr>
              <w:spacing w:line="240" w:lineRule="auto"/>
            </w:pPr>
            <w:r>
              <w:rPr>
                <w:rFonts w:ascii="Times New Roman" w:hAnsi="Times New Roman"/>
                <w:sz w:val="18"/>
              </w:rPr>
              <w:t>FastAPI background tasks and in-memory job status.</w:t>
            </w:r>
          </w:p>
        </w:tc>
      </w:tr>
    </w:tbl>
    <w:p>
      <w:r>
        <w:br w:type="page"/>
      </w:r>
    </w:p>
    <w:p>
      <w:pPr>
        <w:jc w:val="center"/>
      </w:pPr>
      <w:r>
        <w:rPr>
          <w:b/>
        </w:rPr>
        <w:t>CHAPTER 5</w:t>
      </w:r>
    </w:p>
    <w:p>
      <w:pPr>
        <w:pStyle w:val="Heading1"/>
      </w:pPr>
      <w:r>
        <w:t>EVALUATION AND RESULTS</w:t>
      </w:r>
    </w:p>
    <w:p>
      <w:pPr>
        <w:pStyle w:val="Heading2"/>
      </w:pPr>
      <w:r>
        <w:t>5.1 EVALUATION SCOPE</w:t>
      </w:r>
    </w:p>
    <w:p>
      <w:pPr/>
      <w:r>
        <w:t>The supplied paper and evaluation records distinguish retrieval scores from gap quality. TREC-COVID and SciFact have query-document relevance evidence but no labels for REFINE’s three gap statuses. Retrieval metrics therefore do not prove that reported gaps are correct or that the entire workflow succeeds.</w:t>
      </w:r>
    </w:p>
    <w:p>
      <w:pPr>
        <w:pStyle w:val="Heading2"/>
      </w:pPr>
      <w:r>
        <w:t>5.2 BENCHMARK CONFIGURATION</w:t>
      </w:r>
    </w:p>
    <w:p>
      <w:pPr/>
      <w:r>
        <w:t>TREC-COVID Round 5 used 50 topics and official relevance judgments. Completed configurations were BM25 and BM25 followed by cross-encoder reranking. SciFact dev evaluated retrieval for 188 evidence-bearing claims across 5,183 abstracts using BM25, dense retrieval and hybrid RRF. SciFact stance labels were not substituted for gap labels. Unjudged documents were treated as nonrelevant, so incomplete judgment pools can lower scores.</w:t>
      </w:r>
    </w:p>
    <w:p>
      <w:pPr>
        <w:pStyle w:val="Heading2"/>
      </w:pPr>
      <w:r>
        <w:t>5.3 RETRIEVAL RESULTS</w:t>
      </w:r>
    </w:p>
    <w:p>
      <w:pPr>
        <w:jc w:val="center"/>
      </w:pPr>
      <w:r>
        <w:t>Table 5.1  Retrieval benchmark results (macro averages)</w:t>
      </w:r>
    </w:p>
    <w:tbl>
      <w:tblPr>
        <w:tblW w:type="auto" w:w="0"/>
        <w:tblLook w:firstColumn="1" w:firstRow="1" w:lastColumn="0" w:lastRow="0" w:noHBand="0" w:noVBand="1" w:val="04A0"/>
      </w:tblPr>
      <w:tblGrid>
        <w:gridCol w:w="1254"/>
        <w:gridCol w:w="1254"/>
        <w:gridCol w:w="1254"/>
        <w:gridCol w:w="1254"/>
        <w:gridCol w:w="1254"/>
        <w:gridCol w:w="1254"/>
        <w:gridCol w:w="1254"/>
      </w:tblGrid>
      <w:tr>
        <w:tc>
          <w:tcPr>
            <w:tcW w:type="dxa" w:w="1254"/>
          </w:tcPr>
          <w:p>
            <w:pPr>
              <w:spacing w:line="240" w:lineRule="auto"/>
            </w:pPr>
            <w:r>
              <w:rPr>
                <w:rFonts w:ascii="Times New Roman" w:hAnsi="Times New Roman"/>
                <w:sz w:val="18"/>
              </w:rPr>
              <w:t>Dataset / method</w:t>
            </w:r>
          </w:p>
        </w:tc>
        <w:tc>
          <w:tcPr>
            <w:tcW w:type="dxa" w:w="1254"/>
          </w:tcPr>
          <w:p>
            <w:pPr>
              <w:spacing w:line="240" w:lineRule="auto"/>
            </w:pPr>
            <w:r>
              <w:rPr>
                <w:rFonts w:ascii="Times New Roman" w:hAnsi="Times New Roman"/>
                <w:sz w:val="18"/>
              </w:rPr>
              <w:t>P@5</w:t>
            </w:r>
          </w:p>
        </w:tc>
        <w:tc>
          <w:tcPr>
            <w:tcW w:type="dxa" w:w="1254"/>
          </w:tcPr>
          <w:p>
            <w:pPr>
              <w:spacing w:line="240" w:lineRule="auto"/>
            </w:pPr>
            <w:r>
              <w:rPr>
                <w:rFonts w:ascii="Times New Roman" w:hAnsi="Times New Roman"/>
                <w:sz w:val="18"/>
              </w:rPr>
              <w:t>P@10</w:t>
            </w:r>
          </w:p>
        </w:tc>
        <w:tc>
          <w:tcPr>
            <w:tcW w:type="dxa" w:w="1254"/>
          </w:tcPr>
          <w:p>
            <w:pPr>
              <w:spacing w:line="240" w:lineRule="auto"/>
            </w:pPr>
            <w:r>
              <w:rPr>
                <w:rFonts w:ascii="Times New Roman" w:hAnsi="Times New Roman"/>
                <w:sz w:val="18"/>
              </w:rPr>
              <w:t>R@10</w:t>
            </w:r>
          </w:p>
        </w:tc>
        <w:tc>
          <w:tcPr>
            <w:tcW w:type="dxa" w:w="1254"/>
          </w:tcPr>
          <w:p>
            <w:pPr>
              <w:spacing w:line="240" w:lineRule="auto"/>
            </w:pPr>
            <w:r>
              <w:rPr>
                <w:rFonts w:ascii="Times New Roman" w:hAnsi="Times New Roman"/>
                <w:sz w:val="18"/>
              </w:rPr>
              <w:t>MRR</w:t>
            </w:r>
          </w:p>
        </w:tc>
        <w:tc>
          <w:tcPr>
            <w:tcW w:type="dxa" w:w="1254"/>
          </w:tcPr>
          <w:p>
            <w:pPr>
              <w:spacing w:line="240" w:lineRule="auto"/>
            </w:pPr>
            <w:r>
              <w:rPr>
                <w:rFonts w:ascii="Times New Roman" w:hAnsi="Times New Roman"/>
                <w:sz w:val="18"/>
              </w:rPr>
              <w:t>MAP</w:t>
            </w:r>
          </w:p>
        </w:tc>
        <w:tc>
          <w:tcPr>
            <w:tcW w:type="dxa" w:w="1254"/>
          </w:tcPr>
          <w:p>
            <w:pPr>
              <w:spacing w:line="240" w:lineRule="auto"/>
            </w:pPr>
            <w:r>
              <w:rPr>
                <w:rFonts w:ascii="Times New Roman" w:hAnsi="Times New Roman"/>
                <w:sz w:val="18"/>
              </w:rPr>
              <w:t>nDCG@10</w:t>
            </w:r>
          </w:p>
        </w:tc>
      </w:tr>
      <w:tr>
        <w:tc>
          <w:tcPr>
            <w:tcW w:type="dxa" w:w="1254"/>
          </w:tcPr>
          <w:p>
            <w:pPr>
              <w:spacing w:line="240" w:lineRule="auto"/>
            </w:pPr>
            <w:r>
              <w:rPr>
                <w:rFonts w:ascii="Times New Roman" w:hAnsi="Times New Roman"/>
                <w:sz w:val="18"/>
              </w:rPr>
              <w:t>TREC BM25</w:t>
            </w:r>
          </w:p>
        </w:tc>
        <w:tc>
          <w:tcPr>
            <w:tcW w:type="dxa" w:w="1254"/>
          </w:tcPr>
          <w:p>
            <w:pPr>
              <w:spacing w:line="240" w:lineRule="auto"/>
            </w:pPr>
            <w:r>
              <w:rPr>
                <w:rFonts w:ascii="Times New Roman" w:hAnsi="Times New Roman"/>
                <w:sz w:val="18"/>
              </w:rPr>
              <w:t>0.640</w:t>
            </w:r>
          </w:p>
        </w:tc>
        <w:tc>
          <w:tcPr>
            <w:tcW w:type="dxa" w:w="1254"/>
          </w:tcPr>
          <w:p>
            <w:pPr>
              <w:spacing w:line="240" w:lineRule="auto"/>
            </w:pPr>
            <w:r>
              <w:rPr>
                <w:rFonts w:ascii="Times New Roman" w:hAnsi="Times New Roman"/>
                <w:sz w:val="18"/>
              </w:rPr>
              <w:t>0.622</w:t>
            </w:r>
          </w:p>
        </w:tc>
        <w:tc>
          <w:tcPr>
            <w:tcW w:type="dxa" w:w="1254"/>
          </w:tcPr>
          <w:p>
            <w:pPr>
              <w:spacing w:line="240" w:lineRule="auto"/>
            </w:pPr>
            <w:r>
              <w:rPr>
                <w:rFonts w:ascii="Times New Roman" w:hAnsi="Times New Roman"/>
                <w:sz w:val="18"/>
              </w:rPr>
              <w:t>0.014</w:t>
            </w:r>
          </w:p>
        </w:tc>
        <w:tc>
          <w:tcPr>
            <w:tcW w:type="dxa" w:w="1254"/>
          </w:tcPr>
          <w:p>
            <w:pPr>
              <w:spacing w:line="240" w:lineRule="auto"/>
            </w:pPr>
            <w:r>
              <w:rPr>
                <w:rFonts w:ascii="Times New Roman" w:hAnsi="Times New Roman"/>
                <w:sz w:val="18"/>
              </w:rPr>
              <w:t>0.821</w:t>
            </w:r>
          </w:p>
        </w:tc>
        <w:tc>
          <w:tcPr>
            <w:tcW w:type="dxa" w:w="1254"/>
          </w:tcPr>
          <w:p>
            <w:pPr>
              <w:spacing w:line="240" w:lineRule="auto"/>
            </w:pPr>
            <w:r>
              <w:rPr>
                <w:rFonts w:ascii="Times New Roman" w:hAnsi="Times New Roman"/>
                <w:sz w:val="18"/>
              </w:rPr>
              <w:t>0.062</w:t>
            </w:r>
          </w:p>
        </w:tc>
        <w:tc>
          <w:tcPr>
            <w:tcW w:type="dxa" w:w="1254"/>
          </w:tcPr>
          <w:p>
            <w:pPr>
              <w:spacing w:line="240" w:lineRule="auto"/>
            </w:pPr>
            <w:r>
              <w:rPr>
                <w:rFonts w:ascii="Times New Roman" w:hAnsi="Times New Roman"/>
                <w:sz w:val="18"/>
              </w:rPr>
              <w:t>0.542</w:t>
            </w:r>
          </w:p>
        </w:tc>
      </w:tr>
      <w:tr>
        <w:tc>
          <w:tcPr>
            <w:tcW w:type="dxa" w:w="1254"/>
          </w:tcPr>
          <w:p>
            <w:pPr>
              <w:spacing w:line="240" w:lineRule="auto"/>
            </w:pPr>
            <w:r>
              <w:rPr>
                <w:rFonts w:ascii="Times New Roman" w:hAnsi="Times New Roman"/>
                <w:sz w:val="18"/>
              </w:rPr>
              <w:t>TREC BM25 + reranker</w:t>
            </w:r>
          </w:p>
        </w:tc>
        <w:tc>
          <w:tcPr>
            <w:tcW w:type="dxa" w:w="1254"/>
          </w:tcPr>
          <w:p>
            <w:pPr>
              <w:spacing w:line="240" w:lineRule="auto"/>
            </w:pPr>
            <w:r>
              <w:rPr>
                <w:rFonts w:ascii="Times New Roman" w:hAnsi="Times New Roman"/>
                <w:sz w:val="18"/>
              </w:rPr>
              <w:t>0.700</w:t>
            </w:r>
          </w:p>
        </w:tc>
        <w:tc>
          <w:tcPr>
            <w:tcW w:type="dxa" w:w="1254"/>
          </w:tcPr>
          <w:p>
            <w:pPr>
              <w:spacing w:line="240" w:lineRule="auto"/>
            </w:pPr>
            <w:r>
              <w:rPr>
                <w:rFonts w:ascii="Times New Roman" w:hAnsi="Times New Roman"/>
                <w:sz w:val="18"/>
              </w:rPr>
              <w:t>0.666</w:t>
            </w:r>
          </w:p>
        </w:tc>
        <w:tc>
          <w:tcPr>
            <w:tcW w:type="dxa" w:w="1254"/>
          </w:tcPr>
          <w:p>
            <w:pPr>
              <w:spacing w:line="240" w:lineRule="auto"/>
            </w:pPr>
            <w:r>
              <w:rPr>
                <w:rFonts w:ascii="Times New Roman" w:hAnsi="Times New Roman"/>
                <w:sz w:val="18"/>
              </w:rPr>
              <w:t>0.015</w:t>
            </w:r>
          </w:p>
        </w:tc>
        <w:tc>
          <w:tcPr>
            <w:tcW w:type="dxa" w:w="1254"/>
          </w:tcPr>
          <w:p>
            <w:pPr>
              <w:spacing w:line="240" w:lineRule="auto"/>
            </w:pPr>
            <w:r>
              <w:rPr>
                <w:rFonts w:ascii="Times New Roman" w:hAnsi="Times New Roman"/>
                <w:sz w:val="18"/>
              </w:rPr>
              <w:t>0.834</w:t>
            </w:r>
          </w:p>
        </w:tc>
        <w:tc>
          <w:tcPr>
            <w:tcW w:type="dxa" w:w="1254"/>
          </w:tcPr>
          <w:p>
            <w:pPr>
              <w:spacing w:line="240" w:lineRule="auto"/>
            </w:pPr>
            <w:r>
              <w:rPr>
                <w:rFonts w:ascii="Times New Roman" w:hAnsi="Times New Roman"/>
                <w:sz w:val="18"/>
              </w:rPr>
              <w:t>0.065</w:t>
            </w:r>
          </w:p>
        </w:tc>
        <w:tc>
          <w:tcPr>
            <w:tcW w:type="dxa" w:w="1254"/>
          </w:tcPr>
          <w:p>
            <w:pPr>
              <w:spacing w:line="240" w:lineRule="auto"/>
            </w:pPr>
            <w:r>
              <w:rPr>
                <w:rFonts w:ascii="Times New Roman" w:hAnsi="Times New Roman"/>
                <w:sz w:val="18"/>
              </w:rPr>
              <w:t>0.585</w:t>
            </w:r>
          </w:p>
        </w:tc>
      </w:tr>
      <w:tr>
        <w:tc>
          <w:tcPr>
            <w:tcW w:type="dxa" w:w="1254"/>
          </w:tcPr>
          <w:p>
            <w:pPr>
              <w:spacing w:line="240" w:lineRule="auto"/>
            </w:pPr>
            <w:r>
              <w:rPr>
                <w:rFonts w:ascii="Times New Roman" w:hAnsi="Times New Roman"/>
                <w:sz w:val="18"/>
              </w:rPr>
              <w:t>TREC dense / hybrid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r>
      <w:tr>
        <w:tc>
          <w:tcPr>
            <w:tcW w:type="dxa" w:w="1254"/>
          </w:tcPr>
          <w:p>
            <w:pPr>
              <w:spacing w:line="240" w:lineRule="auto"/>
            </w:pPr>
            <w:r>
              <w:rPr>
                <w:rFonts w:ascii="Times New Roman" w:hAnsi="Times New Roman"/>
                <w:sz w:val="18"/>
              </w:rPr>
              <w:t>SciFact BM25</w:t>
            </w:r>
          </w:p>
        </w:tc>
        <w:tc>
          <w:tcPr>
            <w:tcW w:type="dxa" w:w="1254"/>
          </w:tcPr>
          <w:p>
            <w:pPr>
              <w:spacing w:line="240" w:lineRule="auto"/>
            </w:pPr>
            <w:r>
              <w:rPr>
                <w:rFonts w:ascii="Times New Roman" w:hAnsi="Times New Roman"/>
                <w:sz w:val="18"/>
              </w:rPr>
              <w:t>0.182</w:t>
            </w:r>
          </w:p>
        </w:tc>
        <w:tc>
          <w:tcPr>
            <w:tcW w:type="dxa" w:w="1254"/>
          </w:tcPr>
          <w:p>
            <w:pPr>
              <w:spacing w:line="240" w:lineRule="auto"/>
            </w:pPr>
            <w:r>
              <w:rPr>
                <w:rFonts w:ascii="Times New Roman" w:hAnsi="Times New Roman"/>
                <w:sz w:val="18"/>
              </w:rPr>
              <w:t>0.097</w:t>
            </w:r>
          </w:p>
        </w:tc>
        <w:tc>
          <w:tcPr>
            <w:tcW w:type="dxa" w:w="1254"/>
          </w:tcPr>
          <w:p>
            <w:pPr>
              <w:spacing w:line="240" w:lineRule="auto"/>
            </w:pPr>
            <w:r>
              <w:rPr>
                <w:rFonts w:ascii="Times New Roman" w:hAnsi="Times New Roman"/>
                <w:sz w:val="18"/>
              </w:rPr>
              <w:t>0.908</w:t>
            </w:r>
          </w:p>
        </w:tc>
        <w:tc>
          <w:tcPr>
            <w:tcW w:type="dxa" w:w="1254"/>
          </w:tcPr>
          <w:p>
            <w:pPr>
              <w:spacing w:line="240" w:lineRule="auto"/>
            </w:pPr>
            <w:r>
              <w:rPr>
                <w:rFonts w:ascii="Times New Roman" w:hAnsi="Times New Roman"/>
                <w:sz w:val="18"/>
              </w:rPr>
              <w:t>0.777</w:t>
            </w:r>
          </w:p>
        </w:tc>
        <w:tc>
          <w:tcPr>
            <w:tcW w:type="dxa" w:w="1254"/>
          </w:tcPr>
          <w:p>
            <w:pPr>
              <w:spacing w:line="240" w:lineRule="auto"/>
            </w:pPr>
            <w:r>
              <w:rPr>
                <w:rFonts w:ascii="Times New Roman" w:hAnsi="Times New Roman"/>
                <w:sz w:val="18"/>
              </w:rPr>
              <w:t>0.770</w:t>
            </w:r>
          </w:p>
        </w:tc>
        <w:tc>
          <w:tcPr>
            <w:tcW w:type="dxa" w:w="1254"/>
          </w:tcPr>
          <w:p>
            <w:pPr>
              <w:spacing w:line="240" w:lineRule="auto"/>
            </w:pPr>
            <w:r>
              <w:rPr>
                <w:rFonts w:ascii="Times New Roman" w:hAnsi="Times New Roman"/>
                <w:sz w:val="18"/>
              </w:rPr>
              <w:t>0.804</w:t>
            </w:r>
          </w:p>
        </w:tc>
      </w:tr>
      <w:tr>
        <w:tc>
          <w:tcPr>
            <w:tcW w:type="dxa" w:w="1254"/>
          </w:tcPr>
          <w:p>
            <w:pPr>
              <w:spacing w:line="240" w:lineRule="auto"/>
            </w:pPr>
            <w:r>
              <w:rPr>
                <w:rFonts w:ascii="Times New Roman" w:hAnsi="Times New Roman"/>
                <w:sz w:val="18"/>
              </w:rPr>
              <w:t>SciFact dense BGE</w:t>
            </w:r>
          </w:p>
        </w:tc>
        <w:tc>
          <w:tcPr>
            <w:tcW w:type="dxa" w:w="1254"/>
          </w:tcPr>
          <w:p>
            <w:pPr>
              <w:spacing w:line="240" w:lineRule="auto"/>
            </w:pPr>
            <w:r>
              <w:rPr>
                <w:rFonts w:ascii="Times New Roman" w:hAnsi="Times New Roman"/>
                <w:sz w:val="18"/>
              </w:rPr>
              <w:t>0.054</w:t>
            </w:r>
          </w:p>
        </w:tc>
        <w:tc>
          <w:tcPr>
            <w:tcW w:type="dxa" w:w="1254"/>
          </w:tcPr>
          <w:p>
            <w:pPr>
              <w:spacing w:line="240" w:lineRule="auto"/>
            </w:pPr>
            <w:r>
              <w:rPr>
                <w:rFonts w:ascii="Times New Roman" w:hAnsi="Times New Roman"/>
                <w:sz w:val="18"/>
              </w:rPr>
              <w:t>0.028</w:t>
            </w:r>
          </w:p>
        </w:tc>
        <w:tc>
          <w:tcPr>
            <w:tcW w:type="dxa" w:w="1254"/>
          </w:tcPr>
          <w:p>
            <w:pPr>
              <w:spacing w:line="240" w:lineRule="auto"/>
            </w:pPr>
            <w:r>
              <w:rPr>
                <w:rFonts w:ascii="Times New Roman" w:hAnsi="Times New Roman"/>
                <w:sz w:val="18"/>
              </w:rPr>
              <w:t>0.263</w:t>
            </w:r>
          </w:p>
        </w:tc>
        <w:tc>
          <w:tcPr>
            <w:tcW w:type="dxa" w:w="1254"/>
          </w:tcPr>
          <w:p>
            <w:pPr>
              <w:spacing w:line="240" w:lineRule="auto"/>
            </w:pPr>
            <w:r>
              <w:rPr>
                <w:rFonts w:ascii="Times New Roman" w:hAnsi="Times New Roman"/>
                <w:sz w:val="18"/>
              </w:rPr>
              <w:t>0.248</w:t>
            </w:r>
          </w:p>
        </w:tc>
        <w:tc>
          <w:tcPr>
            <w:tcW w:type="dxa" w:w="1254"/>
          </w:tcPr>
          <w:p>
            <w:pPr>
              <w:spacing w:line="240" w:lineRule="auto"/>
            </w:pPr>
            <w:r>
              <w:rPr>
                <w:rFonts w:ascii="Times New Roman" w:hAnsi="Times New Roman"/>
                <w:sz w:val="18"/>
              </w:rPr>
              <w:t>0.243</w:t>
            </w:r>
          </w:p>
        </w:tc>
        <w:tc>
          <w:tcPr>
            <w:tcW w:type="dxa" w:w="1254"/>
          </w:tcPr>
          <w:p>
            <w:pPr>
              <w:spacing w:line="240" w:lineRule="auto"/>
            </w:pPr>
            <w:r>
              <w:rPr>
                <w:rFonts w:ascii="Times New Roman" w:hAnsi="Times New Roman"/>
                <w:sz w:val="18"/>
              </w:rPr>
              <w:t>0.249</w:t>
            </w:r>
          </w:p>
        </w:tc>
      </w:tr>
      <w:tr>
        <w:tc>
          <w:tcPr>
            <w:tcW w:type="dxa" w:w="1254"/>
          </w:tcPr>
          <w:p>
            <w:pPr>
              <w:spacing w:line="240" w:lineRule="auto"/>
            </w:pPr>
            <w:r>
              <w:rPr>
                <w:rFonts w:ascii="Times New Roman" w:hAnsi="Times New Roman"/>
                <w:sz w:val="18"/>
              </w:rPr>
              <w:t>SciFact hybrid RRF</w:t>
            </w:r>
          </w:p>
        </w:tc>
        <w:tc>
          <w:tcPr>
            <w:tcW w:type="dxa" w:w="1254"/>
          </w:tcPr>
          <w:p>
            <w:pPr>
              <w:spacing w:line="240" w:lineRule="auto"/>
            </w:pPr>
            <w:r>
              <w:rPr>
                <w:rFonts w:ascii="Times New Roman" w:hAnsi="Times New Roman"/>
                <w:sz w:val="18"/>
              </w:rPr>
              <w:t>0.063</w:t>
            </w:r>
          </w:p>
        </w:tc>
        <w:tc>
          <w:tcPr>
            <w:tcW w:type="dxa" w:w="1254"/>
          </w:tcPr>
          <w:p>
            <w:pPr>
              <w:spacing w:line="240" w:lineRule="auto"/>
            </w:pPr>
            <w:r>
              <w:rPr>
                <w:rFonts w:ascii="Times New Roman" w:hAnsi="Times New Roman"/>
                <w:sz w:val="18"/>
              </w:rPr>
              <w:t>0.048</w:t>
            </w:r>
          </w:p>
        </w:tc>
        <w:tc>
          <w:tcPr>
            <w:tcW w:type="dxa" w:w="1254"/>
          </w:tcPr>
          <w:p>
            <w:pPr>
              <w:spacing w:line="240" w:lineRule="auto"/>
            </w:pPr>
            <w:r>
              <w:rPr>
                <w:rFonts w:ascii="Times New Roman" w:hAnsi="Times New Roman"/>
                <w:sz w:val="18"/>
              </w:rPr>
              <w:t>0.457</w:t>
            </w:r>
          </w:p>
        </w:tc>
        <w:tc>
          <w:tcPr>
            <w:tcW w:type="dxa" w:w="1254"/>
          </w:tcPr>
          <w:p>
            <w:pPr>
              <w:spacing w:line="240" w:lineRule="auto"/>
            </w:pPr>
            <w:r>
              <w:rPr>
                <w:rFonts w:ascii="Times New Roman" w:hAnsi="Times New Roman"/>
                <w:sz w:val="18"/>
              </w:rPr>
              <w:t>0.311</w:t>
            </w:r>
          </w:p>
        </w:tc>
        <w:tc>
          <w:tcPr>
            <w:tcW w:type="dxa" w:w="1254"/>
          </w:tcPr>
          <w:p>
            <w:pPr>
              <w:spacing w:line="240" w:lineRule="auto"/>
            </w:pPr>
            <w:r>
              <w:rPr>
                <w:rFonts w:ascii="Times New Roman" w:hAnsi="Times New Roman"/>
                <w:sz w:val="18"/>
              </w:rPr>
              <w:t>0.300</w:t>
            </w:r>
          </w:p>
        </w:tc>
        <w:tc>
          <w:tcPr>
            <w:tcW w:type="dxa" w:w="1254"/>
          </w:tcPr>
          <w:p>
            <w:pPr>
              <w:spacing w:line="240" w:lineRule="auto"/>
            </w:pPr>
            <w:r>
              <w:rPr>
                <w:rFonts w:ascii="Times New Roman" w:hAnsi="Times New Roman"/>
                <w:sz w:val="18"/>
              </w:rPr>
              <w:t>0.314</w:t>
            </w:r>
          </w:p>
        </w:tc>
      </w:tr>
      <w:tr>
        <w:tc>
          <w:tcPr>
            <w:tcW w:type="dxa" w:w="1254"/>
          </w:tcPr>
          <w:p>
            <w:pPr>
              <w:spacing w:line="240" w:lineRule="auto"/>
            </w:pPr>
            <w:r>
              <w:rPr>
                <w:rFonts w:ascii="Times New Roman" w:hAnsi="Times New Roman"/>
                <w:sz w:val="18"/>
              </w:rPr>
              <w:t>SciFact reranking</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c>
          <w:tcPr>
            <w:tcW w:type="dxa" w:w="1254"/>
          </w:tcPr>
          <w:p>
            <w:pPr>
              <w:spacing w:line="240" w:lineRule="auto"/>
            </w:pPr>
            <w:r>
              <w:rPr>
                <w:rFonts w:ascii="Times New Roman" w:hAnsi="Times New Roman"/>
                <w:sz w:val="18"/>
              </w:rPr>
              <w:t>Not measured</w:t>
            </w:r>
          </w:p>
        </w:tc>
      </w:tr>
    </w:tbl>
    <w:p>
      <w:pPr/>
      <w:r>
        <w:t>For TREC-COVID, reranking BM25 increased P@10 from 0.622 to 0.666 and nDCG@10 from 0.542 to 0.585 in the reported run. Dense indexing of the full TREC collection did not complete. In SciFact, BM25 outperformed dense and equal-weight RRF. This motivates re-examining the dense model and fusion, but transfer to full-text verification remains untested.</w:t>
      </w:r>
    </w:p>
    <w:p>
      <w:pPr>
        <w:pStyle w:val="Heading2"/>
      </w:pPr>
      <w:r>
        <w:t>5.4 GAP QUALITY AND VALIDATION METRICS</w:t>
      </w:r>
    </w:p>
    <w:p>
      <w:pPr>
        <w:jc w:val="center"/>
      </w:pPr>
      <w:r>
        <w:t>Table 5.2  Evaluation evidence summary</w:t>
      </w:r>
    </w:p>
    <w:tbl>
      <w:tblPr>
        <w:tblW w:type="auto" w:w="0"/>
        <w:tblLook w:firstColumn="1" w:firstRow="1" w:lastColumn="0" w:lastRow="0" w:noHBand="0" w:noVBand="1" w:val="04A0"/>
      </w:tblPr>
      <w:tblGrid>
        <w:gridCol w:w="2927"/>
        <w:gridCol w:w="2927"/>
        <w:gridCol w:w="2927"/>
      </w:tblGrid>
      <w:tr>
        <w:tc>
          <w:tcPr>
            <w:tcW w:type="dxa" w:w="2927"/>
          </w:tcPr>
          <w:p>
            <w:pPr>
              <w:spacing w:line="240" w:lineRule="auto"/>
            </w:pPr>
            <w:r>
              <w:rPr>
                <w:rFonts w:ascii="Times New Roman" w:hAnsi="Times New Roman"/>
                <w:sz w:val="18"/>
              </w:rPr>
              <w:t>Question</w:t>
            </w:r>
          </w:p>
        </w:tc>
        <w:tc>
          <w:tcPr>
            <w:tcW w:type="dxa" w:w="2927"/>
          </w:tcPr>
          <w:p>
            <w:pPr>
              <w:spacing w:line="240" w:lineRule="auto"/>
            </w:pPr>
            <w:r>
              <w:rPr>
                <w:rFonts w:ascii="Times New Roman" w:hAnsi="Times New Roman"/>
                <w:sz w:val="18"/>
              </w:rPr>
              <w:t>Status</w:t>
            </w:r>
          </w:p>
        </w:tc>
        <w:tc>
          <w:tcPr>
            <w:tcW w:type="dxa" w:w="2927"/>
          </w:tcPr>
          <w:p>
            <w:pPr>
              <w:spacing w:line="240" w:lineRule="auto"/>
            </w:pPr>
            <w:r>
              <w:rPr>
                <w:rFonts w:ascii="Times New Roman" w:hAnsi="Times New Roman"/>
                <w:sz w:val="18"/>
              </w:rPr>
              <w:t>Reason</w:t>
            </w:r>
          </w:p>
        </w:tc>
      </w:tr>
      <w:tr>
        <w:tc>
          <w:tcPr>
            <w:tcW w:type="dxa" w:w="2927"/>
          </w:tcPr>
          <w:p>
            <w:pPr>
              <w:spacing w:line="240" w:lineRule="auto"/>
            </w:pPr>
            <w:r>
              <w:rPr>
                <w:rFonts w:ascii="Times New Roman" w:hAnsi="Times New Roman"/>
                <w:sz w:val="18"/>
              </w:rPr>
              <w:t>Gap identification precision / recall / F1</w:t>
            </w:r>
          </w:p>
        </w:tc>
        <w:tc>
          <w:tcPr>
            <w:tcW w:type="dxa" w:w="2927"/>
          </w:tcPr>
          <w:p>
            <w:pPr>
              <w:spacing w:line="240" w:lineRule="auto"/>
            </w:pPr>
            <w:r>
              <w:rPr>
                <w:rFonts w:ascii="Times New Roman" w:hAnsi="Times New Roman"/>
                <w:sz w:val="18"/>
              </w:rPr>
              <w:t>Not measured</w:t>
            </w:r>
          </w:p>
        </w:tc>
        <w:tc>
          <w:tcPr>
            <w:tcW w:type="dxa" w:w="2927"/>
          </w:tcPr>
          <w:p>
            <w:pPr>
              <w:spacing w:line="240" w:lineRule="auto"/>
            </w:pPr>
            <w:r>
              <w:rPr>
                <w:rFonts w:ascii="Times New Roman" w:hAnsi="Times New Roman"/>
                <w:sz w:val="18"/>
              </w:rPr>
              <w:t>No compatible expert-labeled gap set.</w:t>
            </w:r>
          </w:p>
        </w:tc>
      </w:tr>
      <w:tr>
        <w:tc>
          <w:tcPr>
            <w:tcW w:type="dxa" w:w="2927"/>
          </w:tcPr>
          <w:p>
            <w:pPr>
              <w:spacing w:line="240" w:lineRule="auto"/>
            </w:pPr>
            <w:r>
              <w:rPr>
                <w:rFonts w:ascii="Times New Roman" w:hAnsi="Times New Roman"/>
                <w:sz w:val="18"/>
              </w:rPr>
              <w:t>Three-way validation accuracy / macro-F1</w:t>
            </w:r>
          </w:p>
        </w:tc>
        <w:tc>
          <w:tcPr>
            <w:tcW w:type="dxa" w:w="2927"/>
          </w:tcPr>
          <w:p>
            <w:pPr>
              <w:spacing w:line="240" w:lineRule="auto"/>
            </w:pPr>
            <w:r>
              <w:rPr>
                <w:rFonts w:ascii="Times New Roman" w:hAnsi="Times New Roman"/>
                <w:sz w:val="18"/>
              </w:rPr>
              <w:t>Not measured</w:t>
            </w:r>
          </w:p>
        </w:tc>
        <w:tc>
          <w:tcPr>
            <w:tcW w:type="dxa" w:w="2927"/>
          </w:tcPr>
          <w:p>
            <w:pPr>
              <w:spacing w:line="240" w:lineRule="auto"/>
            </w:pPr>
            <w:r>
              <w:rPr>
                <w:rFonts w:ascii="Times New Roman" w:hAnsi="Times New Roman"/>
                <w:sz w:val="18"/>
              </w:rPr>
              <w:t>Dataset labels do not represent gap status.</w:t>
            </w:r>
          </w:p>
        </w:tc>
      </w:tr>
      <w:tr>
        <w:tc>
          <w:tcPr>
            <w:tcW w:type="dxa" w:w="2927"/>
          </w:tcPr>
          <w:p>
            <w:pPr>
              <w:spacing w:line="240" w:lineRule="auto"/>
            </w:pPr>
            <w:r>
              <w:rPr>
                <w:rFonts w:ascii="Times New Roman" w:hAnsi="Times New Roman"/>
                <w:sz w:val="18"/>
              </w:rPr>
              <w:t>Confidence calibration</w:t>
            </w:r>
          </w:p>
        </w:tc>
        <w:tc>
          <w:tcPr>
            <w:tcW w:type="dxa" w:w="2927"/>
          </w:tcPr>
          <w:p>
            <w:pPr>
              <w:spacing w:line="240" w:lineRule="auto"/>
            </w:pPr>
            <w:r>
              <w:rPr>
                <w:rFonts w:ascii="Times New Roman" w:hAnsi="Times New Roman"/>
                <w:sz w:val="18"/>
              </w:rPr>
              <w:t>Not measured</w:t>
            </w:r>
          </w:p>
        </w:tc>
        <w:tc>
          <w:tcPr>
            <w:tcW w:type="dxa" w:w="2927"/>
          </w:tcPr>
          <w:p>
            <w:pPr>
              <w:spacing w:line="240" w:lineRule="auto"/>
            </w:pPr>
            <w:r>
              <w:rPr>
                <w:rFonts w:ascii="Times New Roman" w:hAnsi="Times New Roman"/>
                <w:sz w:val="18"/>
              </w:rPr>
              <w:t>No reference validation labels.</w:t>
            </w:r>
          </w:p>
        </w:tc>
      </w:tr>
      <w:tr>
        <w:tc>
          <w:tcPr>
            <w:tcW w:type="dxa" w:w="2927"/>
          </w:tcPr>
          <w:p>
            <w:pPr>
              <w:spacing w:line="240" w:lineRule="auto"/>
            </w:pPr>
            <w:r>
              <w:rPr>
                <w:rFonts w:ascii="Times New Roman" w:hAnsi="Times New Roman"/>
                <w:sz w:val="18"/>
              </w:rPr>
              <w:t>Full pipeline latency / success rate</w:t>
            </w:r>
          </w:p>
        </w:tc>
        <w:tc>
          <w:tcPr>
            <w:tcW w:type="dxa" w:w="2927"/>
          </w:tcPr>
          <w:p>
            <w:pPr>
              <w:spacing w:line="240" w:lineRule="auto"/>
            </w:pPr>
            <w:r>
              <w:rPr>
                <w:rFonts w:ascii="Times New Roman" w:hAnsi="Times New Roman"/>
                <w:sz w:val="18"/>
              </w:rPr>
              <w:t>Not measured</w:t>
            </w:r>
          </w:p>
        </w:tc>
        <w:tc>
          <w:tcPr>
            <w:tcW w:type="dxa" w:w="2927"/>
          </w:tcPr>
          <w:p>
            <w:pPr>
              <w:spacing w:line="240" w:lineRule="auto"/>
            </w:pPr>
            <w:r>
              <w:rPr>
                <w:rFonts w:ascii="Times New Roman" w:hAnsi="Times New Roman"/>
                <w:sz w:val="18"/>
              </w:rPr>
              <w:t>No controlled live end-to-end evaluation.</w:t>
            </w:r>
          </w:p>
        </w:tc>
      </w:tr>
      <w:tr>
        <w:tc>
          <w:tcPr>
            <w:tcW w:type="dxa" w:w="2927"/>
          </w:tcPr>
          <w:p>
            <w:pPr>
              <w:spacing w:line="240" w:lineRule="auto"/>
            </w:pPr>
            <w:r>
              <w:rPr>
                <w:rFonts w:ascii="Times New Roman" w:hAnsi="Times New Roman"/>
                <w:sz w:val="18"/>
              </w:rPr>
              <w:t>Benchmark metric unit checks</w:t>
            </w:r>
          </w:p>
        </w:tc>
        <w:tc>
          <w:tcPr>
            <w:tcW w:type="dxa" w:w="2927"/>
          </w:tcPr>
          <w:p>
            <w:pPr>
              <w:spacing w:line="240" w:lineRule="auto"/>
            </w:pPr>
            <w:r>
              <w:rPr>
                <w:rFonts w:ascii="Times New Roman" w:hAnsi="Times New Roman"/>
                <w:sz w:val="18"/>
              </w:rPr>
              <w:t>2 passed per paper</w:t>
            </w:r>
          </w:p>
        </w:tc>
        <w:tc>
          <w:tcPr>
            <w:tcW w:type="dxa" w:w="2927"/>
          </w:tcPr>
          <w:p>
            <w:pPr>
              <w:spacing w:line="240" w:lineRule="auto"/>
            </w:pPr>
            <w:r>
              <w:rPr>
                <w:rFonts w:ascii="Times New Roman" w:hAnsi="Times New Roman"/>
                <w:sz w:val="18"/>
              </w:rPr>
              <w:t>Software metric tests, not model-quality results.</w:t>
            </w:r>
          </w:p>
        </w:tc>
      </w:tr>
      <w:tr>
        <w:tc>
          <w:tcPr>
            <w:tcW w:type="dxa" w:w="2927"/>
          </w:tcPr>
          <w:p>
            <w:pPr>
              <w:spacing w:line="240" w:lineRule="auto"/>
            </w:pPr>
            <w:r>
              <w:rPr>
                <w:rFonts w:ascii="Times New Roman" w:hAnsi="Times New Roman"/>
                <w:sz w:val="18"/>
              </w:rPr>
              <w:t>Unit tests reported in project paper</w:t>
            </w:r>
          </w:p>
        </w:tc>
        <w:tc>
          <w:tcPr>
            <w:tcW w:type="dxa" w:w="2927"/>
          </w:tcPr>
          <w:p>
            <w:pPr>
              <w:spacing w:line="240" w:lineRule="auto"/>
            </w:pPr>
            <w:r>
              <w:rPr>
                <w:rFonts w:ascii="Times New Roman" w:hAnsi="Times New Roman"/>
                <w:sz w:val="18"/>
              </w:rPr>
              <w:t>474 passed; 21 not collected</w:t>
            </w:r>
          </w:p>
        </w:tc>
        <w:tc>
          <w:tcPr>
            <w:tcW w:type="dxa" w:w="2927"/>
          </w:tcPr>
          <w:p>
            <w:pPr>
              <w:spacing w:line="240" w:lineRule="auto"/>
            </w:pPr>
            <w:r>
              <w:rPr>
                <w:rFonts w:ascii="Times New Roman" w:hAnsi="Times New Roman"/>
                <w:sz w:val="18"/>
              </w:rPr>
              <w:t>Reported paper outcome; no integration run.</w:t>
            </w:r>
          </w:p>
        </w:tc>
      </w:tr>
    </w:tbl>
    <w:p>
      <w:pPr/>
      <w:r>
        <w:t>The supplied paper reports its unit-test run; no tests were executed while preparing this report. These counts are transcribed evidence, not a new verification. A separate repository evaluation note reports 113 passes for a narrower focused command, so counts depend on test selection and snapshot.</w:t>
      </w:r>
    </w:p>
    <w:p>
      <w:pPr>
        <w:pStyle w:val="Heading2"/>
      </w:pPr>
      <w:r>
        <w:t>5.5 SOFTWARE VERIFICATION AND SYSTEM STATUS</w:t>
      </w:r>
    </w:p>
    <w:p>
      <w:pPr/>
      <w:r>
        <w:t>Source inspection shows implementations for ingestion, retrieval, graph construction, candidate detection, validation routes, persistence adapters and browser UI. Unit and integration test modules exist. The audit records that stages are separately triggered and job status is process-local; process restart loses status. The project is a research MVP, not an established restart-safe end-to-end service.</w:t>
      </w:r>
    </w:p>
    <w:p>
      <w:r>
        <w:br w:type="page"/>
      </w:r>
    </w:p>
    <w:p>
      <w:pPr>
        <w:jc w:val="center"/>
      </w:pPr>
      <w:r>
        <w:rPr>
          <w:b/>
        </w:rPr>
        <w:t>CHAPTER 6</w:t>
      </w:r>
    </w:p>
    <w:p>
      <w:pPr>
        <w:pStyle w:val="Heading1"/>
      </w:pPr>
      <w:r>
        <w:t>DISCUSSION</w:t>
      </w:r>
    </w:p>
    <w:p>
      <w:pPr>
        <w:pStyle w:val="Heading2"/>
      </w:pPr>
      <w:r>
        <w:t>6.1 INTERPRETATION</w:t>
      </w:r>
    </w:p>
    <w:p>
      <w:pPr/>
      <w:r>
        <w:t>Results support limited conclusions: reranking improved selected TREC-COVID BM25 metrics, while BM25 exceeded dense and equal-weight RRF on SciFact. These findings are dataset-specific and indicate retrieval tuning is needed. REFINE’s contribution is the separation of candidate generation and evidence-based validation, including counter-evidence. Its practical value remains unmeasured until experts judge outputs.</w:t>
      </w:r>
    </w:p>
    <w:p>
      <w:pPr>
        <w:pStyle w:val="Heading2"/>
      </w:pPr>
      <w:r>
        <w:t>6.2 LIMITATIONS</w:t>
      </w:r>
    </w:p>
    <w:p>
      <w:pPr>
        <w:pStyle w:val="ListParagraph"/>
      </w:pPr>
      <w:r>
        <w:t>• No reference dataset labels valid, uncertain and unsupported gaps.</w:t>
      </w:r>
    </w:p>
    <w:p>
      <w:pPr>
        <w:pStyle w:val="ListParagraph"/>
      </w:pPr>
      <w:r>
        <w:t>• Benchmarks are biomedical retrieval tasks, not broad interdisciplinary gap discovery.</w:t>
      </w:r>
    </w:p>
    <w:p>
      <w:pPr>
        <w:pStyle w:val="ListParagraph"/>
      </w:pPr>
      <w:r>
        <w:t>• TREC dense/hybrid and SciFact reranking were incomplete.</w:t>
      </w:r>
    </w:p>
    <w:p>
      <w:pPr>
        <w:pStyle w:val="ListParagraph"/>
      </w:pPr>
      <w:r>
        <w:t>• Benchmarks use titles/abstracts, not the complete section-aware pipeline.</w:t>
      </w:r>
    </w:p>
    <w:p>
      <w:pPr>
        <w:pStyle w:val="ListParagraph"/>
      </w:pPr>
      <w:r>
        <w:t>• Some retrieved documents are unjudged and scored as nonrelevant.</w:t>
      </w:r>
    </w:p>
    <w:p>
      <w:pPr>
        <w:pStyle w:val="ListParagraph"/>
      </w:pPr>
      <w:r>
        <w:t>• Embedding/fusion settings may not suit scientific evidence retrieval.</w:t>
      </w:r>
    </w:p>
    <w:p>
      <w:pPr>
        <w:pStyle w:val="ListParagraph"/>
      </w:pPr>
      <w:r>
        <w:t>• Job state is in process memory and is lost on restart.</w:t>
      </w:r>
    </w:p>
    <w:p>
      <w:pPr>
        <w:pStyle w:val="ListParagraph"/>
      </w:pPr>
      <w:r>
        <w:t>• No complete live pipeline run is established by supplied evidence.</w:t>
      </w:r>
    </w:p>
    <w:p>
      <w:pPr>
        <w:pStyle w:val="ListParagraph"/>
      </w:pPr>
      <w:r>
        <w:t>• OCR of scanned PDFs is not evidenced.</w:t>
      </w:r>
    </w:p>
    <w:p>
      <w:pPr>
        <w:pStyle w:val="ListParagraph"/>
      </w:pPr>
      <w:r>
        <w:t>• Confidence weights and thresholds are not calibrated against expert labels.</w:t>
      </w:r>
    </w:p>
    <w:p>
      <w:pPr>
        <w:pStyle w:val="Heading2"/>
      </w:pPr>
      <w:r>
        <w:t>6.3 THREATS TO VALIDITY</w:t>
      </w:r>
    </w:p>
    <w:p>
      <w:pPr/>
      <w:r>
        <w:t>Judgments are incomplete for some retrieved documents, and benchmark corpora differ from intended full-text use. Results are single configurations without significance testing. Model revisions are identified by name, not immutable hash. No external provider or database was contacted to verify deployment behavior.</w:t>
      </w:r>
    </w:p>
    <w:p>
      <w:pPr>
        <w:pStyle w:val="Heading2"/>
      </w:pPr>
      <w:r>
        <w:t>6.4 ETHICAL AND PRACTICAL CONSIDERATIONS</w:t>
      </w:r>
    </w:p>
    <w:p>
      <w:pPr/>
      <w:r>
        <w:t>REFINE supports research and does not replace expert review. A status depends on the searched sources, time coverage, access limitations and evidence quality. Users should inspect cited passages and counter-evidence. Collection must respect provider terms and copyright. Confidence should not be presented as calibrated probability until validated.</w:t>
      </w:r>
    </w:p>
    <w:p>
      <w:r>
        <w:br w:type="page"/>
      </w:r>
    </w:p>
    <w:p>
      <w:pPr>
        <w:jc w:val="center"/>
      </w:pPr>
      <w:r>
        <w:rPr>
          <w:b/>
        </w:rPr>
        <w:t>CHAPTER 7</w:t>
      </w:r>
    </w:p>
    <w:p>
      <w:pPr>
        <w:pStyle w:val="Heading1"/>
      </w:pPr>
      <w:r>
        <w:t>CONCLUSION AND FUTURE SCOPE</w:t>
      </w:r>
    </w:p>
    <w:p>
      <w:pPr>
        <w:pStyle w:val="Heading2"/>
      </w:pPr>
      <w:r>
        <w:t>7.1 CONCLUSION</w:t>
      </w:r>
    </w:p>
    <w:p>
      <w:pPr/>
      <w:r>
        <w:t>REFINE implements a staged framework that collects scholarly records, prepares section-aware corpus material, retrieves evidence with dense and sparse methods, builds a per-run graph, generates and ranks candidate gaps, and validates them with supporting and counter-evidence searches. Outputs include coverage-aware confidence, three-way status and an evidence-chain explanation. Benchmarks assess retrieval only: reranking improved selected TREC-COVID scores, while BM25 led SciFact. Gap correctness remains unmeasured because compatible expert labels are unavailable. The project is a research MVP with implemented components and evaluation/orchestration work remaining.</w:t>
      </w:r>
    </w:p>
    <w:p>
      <w:pPr>
        <w:pStyle w:val="Heading2"/>
      </w:pPr>
      <w:r>
        <w:t>7.2 LIMITATIONS OF CURRENT WORK</w:t>
      </w:r>
    </w:p>
    <w:p>
      <w:pPr/>
      <w:r>
        <w:t>The absence of expert-labeled gap data prevents direct measurement of candidate quality, validation accuracy and calibration. Benchmark coverage is partial; end-to-end operation against configured services is not established. Process-local jobs and separately triggered stages limit recovery. Corpus incompleteness and extraction quality affect evidence.</w:t>
      </w:r>
    </w:p>
    <w:p>
      <w:pPr>
        <w:pStyle w:val="Heading2"/>
      </w:pPr>
      <w:r>
        <w:t>7.3 FUTURE SCOPE</w:t>
      </w:r>
    </w:p>
    <w:p>
      <w:pPr>
        <w:pStyle w:val="ListParagraph"/>
      </w:pPr>
      <w:r>
        <w:t>• Build an expert-reviewed benchmark for candidate gaps and three validation outcomes; report agreement, precision, recall, macro-F1 and calibration.</w:t>
      </w:r>
    </w:p>
    <w:p>
      <w:pPr>
        <w:pStyle w:val="ListParagraph"/>
      </w:pPr>
      <w:r>
        <w:t>• Complete dense, hybrid and reranked benchmark runs with pinned model revisions.</w:t>
      </w:r>
    </w:p>
    <w:p>
      <w:pPr>
        <w:pStyle w:val="ListParagraph"/>
      </w:pPr>
      <w:r>
        <w:t>• Evaluate domain-specific embeddings and weighted fusion on section-aware full text.</w:t>
      </w:r>
    </w:p>
    <w:p>
      <w:pPr>
        <w:pStyle w:val="ListParagraph"/>
      </w:pPr>
      <w:r>
        <w:t>• Add durable orchestration, shared job persistence, retries and restart recovery.</w:t>
      </w:r>
    </w:p>
    <w:p>
      <w:pPr>
        <w:pStyle w:val="ListParagraph"/>
      </w:pPr>
      <w:r>
        <w:t>• Improve corpus coverage diagnostics and surface source failures.</w:t>
      </w:r>
    </w:p>
    <w:p>
      <w:pPr>
        <w:pStyle w:val="ListParagraph"/>
      </w:pPr>
      <w:r>
        <w:t>• Evaluate parsing on scanned and malformed PDFs; add OCR with measured quality.</w:t>
      </w:r>
    </w:p>
    <w:p>
      <w:pPr>
        <w:pStyle w:val="ListParagraph"/>
      </w:pPr>
      <w:r>
        <w:t>• Run expert review and usability studies of evidence-chain explanations.</w:t>
      </w:r>
    </w:p>
    <w:p>
      <w:pPr>
        <w:pStyle w:val="ListParagraph"/>
      </w:pPr>
      <w:r>
        <w:t>• Calibrate weights and thresholds only after reference labels are available.</w:t>
      </w:r>
    </w:p>
    <w:p>
      <w:pPr>
        <w:pStyle w:val="Heading2"/>
      </w:pPr>
      <w:r>
        <w:t>7.4 FINAL REMARK</w:t>
      </w:r>
    </w:p>
    <w:p>
      <w:pPr/>
      <w:r>
        <w:t>Evidence-weighted validation makes automated gap analysis more auditable when retrieval coverage is reported honestly. REFINE establishes the software structure; expert-grounded evaluation and durable execution are required to establish reliability.</w:t>
      </w:r>
    </w:p>
    <w:p>
      <w:r>
        <w:br w:type="page"/>
      </w:r>
    </w:p>
    <w:p>
      <w:pPr>
        <w:pStyle w:val="Heading1"/>
      </w:pPr>
      <w:r>
        <w:t>REFERENCES</w:t>
      </w:r>
    </w:p>
    <w:p>
      <w:pPr/>
      <w:r>
        <w:t>[1] A. E. Godinez, “HySemRAG: A Hybrid Semantic Retrieval-Augmented Generation Framework for Automated Literature Synthesis and Methodological Gap Analysis,” arXiv:2508.05666, 2025.</w:t>
      </w:r>
    </w:p>
    <w:p>
      <w:pPr/>
      <w:r>
        <w:t>[2] A. Ghosh, “ResearchRAG: A Knowledge-Graph-Enhanced Hybrid Multi-Agent RAG Framework for Academic Literature Analysis and Adaptive Research Gap Discovery,” Research Square preprint, 2026. DOI: 10.21203/rs.3.rs-10028443/v1.</w:t>
      </w:r>
    </w:p>
    <w:p>
      <w:pPr/>
      <w:r>
        <w:t>[3] M. V. and P. M., “Evidence Weighted Research Gap Validation,” project research paper supplied with the REFINE repository, 2026.</w:t>
      </w:r>
    </w:p>
    <w:p>
      <w:pPr/>
      <w:r>
        <w:t>[4] REFINE repository: README, architecture and methodology documents, API inventory, codebase audit, implementation status and pipeline walkthrough, project snapshot, October 2026.</w:t>
      </w:r>
    </w:p>
    <w:p>
      <w:pPr/>
      <w:r>
        <w:t>[5] NIST, “TREC-COVID Data,” Round 5 topics, qrels and valid document identifiers. https://ir.nist.gov/trec-covid/data.html.</w:t>
      </w:r>
    </w:p>
    <w:p>
      <w:pPr/>
      <w:r>
        <w:t>[6] Allen Institute for AI, “SciFact: Fact-checking Scientific Claims,” dataset and corpus repository. https://github.com/allenai/scifact.</w:t>
      </w:r>
    </w:p>
    <w:p>
      <w:pPr/>
      <w:r>
        <w:t>[7] S. Robertson and H. Zaragoza, “The Probabilistic Relevance Framework: BM25 and Beyond,” Foundations and Trends in Information Retrieval, vol. 3, no. 4, pp. 333–389, 2009.</w:t>
      </w:r>
    </w:p>
    <w:p>
      <w:pPr/>
      <w:r>
        <w:t>[8] P. Lewis et al., “Retrieval-Augmented Generation for Knowledge-Intensive NLP Tasks,” NeurIPS, vol. 33, pp. 9459–9474, 2020.</w:t>
      </w:r>
    </w:p>
    <w:p>
      <w:pPr/>
      <w:r>
        <w:t>[9] G. V. Cormack, C. L. A. Clarke and S. Büttcher, “Reciprocal Rank Fusion Outperforms Condorcet and Individual Rank Learning Methods,” SIGIR, pp. 758–759, 2009.</w:t>
      </w:r>
    </w:p>
    <w:sectPr w:rsidR="00476FCB" w:rsidRPr="006A5D05" w:rsidSect="000D3A01">
      <w:footerReference w:type="default" r:id="rId20"/>
      <w:pgSz w:w="11900" w:h="16840"/>
      <w:pgMar w:top="1134" w:right="1134" w:bottom="1134" w:left="1985" w:header="550" w:footer="7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36BA" w14:textId="77777777" w:rsidR="008C7970" w:rsidRDefault="008C7970">
      <w:r>
        <w:separator/>
      </w:r>
    </w:p>
  </w:endnote>
  <w:endnote w:type="continuationSeparator" w:id="0">
    <w:p w14:paraId="5546DC16" w14:textId="77777777" w:rsidR="008C7970" w:rsidRDefault="008C7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894F" w14:textId="77777777" w:rsidR="00DD42A8" w:rsidRDefault="00DD42A8" w:rsidP="00BA1453">
    <w:pPr>
      <w:pStyle w:val="BodyText"/>
      <w:tabs>
        <w:tab w:val="right" w:pos="9633"/>
      </w:tabs>
      <w:spacing w:line="200" w:lineRule="exact"/>
      <w:rPr>
        <w:sz w:val="2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8A03E" w14:textId="77777777" w:rsidR="008C7970" w:rsidRDefault="008C7970">
      <w:r>
        <w:separator/>
      </w:r>
    </w:p>
  </w:footnote>
  <w:footnote w:type="continuationSeparator" w:id="0">
    <w:p w14:paraId="6C849FE0" w14:textId="77777777" w:rsidR="008C7970" w:rsidRDefault="008C7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55308"/>
      <w:docPartObj>
        <w:docPartGallery w:val="Page Numbers (Top of Page)"/>
        <w:docPartUnique/>
      </w:docPartObj>
    </w:sdtPr>
    <w:sdtEndPr>
      <w:rPr>
        <w:noProof/>
      </w:rPr>
    </w:sdtEndPr>
    <w:sdtContent>
      <w:p w14:paraId="63D1BFCA" w14:textId="77777777" w:rsidR="00873690" w:rsidRDefault="0087369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B790D6" w14:textId="77777777" w:rsidR="00DD42A8" w:rsidRDefault="00DD42A8">
    <w:pPr>
      <w:pStyle w:val="BodyText"/>
      <w:spacing w:line="200" w:lineRule="exac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E0F"/>
    <w:multiLevelType w:val="multilevel"/>
    <w:tmpl w:val="71DE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22D31"/>
    <w:multiLevelType w:val="hybridMultilevel"/>
    <w:tmpl w:val="166C6CE8"/>
    <w:lvl w:ilvl="0" w:tplc="423EA4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B65FA"/>
    <w:multiLevelType w:val="hybridMultilevel"/>
    <w:tmpl w:val="5DB8E416"/>
    <w:lvl w:ilvl="0" w:tplc="ABC64994">
      <w:start w:val="1"/>
      <w:numFmt w:val="decimal"/>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52B73"/>
    <w:multiLevelType w:val="multilevel"/>
    <w:tmpl w:val="10A49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66DC3"/>
    <w:multiLevelType w:val="multilevel"/>
    <w:tmpl w:val="539A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05DD0"/>
    <w:multiLevelType w:val="multilevel"/>
    <w:tmpl w:val="87CE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D7243"/>
    <w:multiLevelType w:val="multilevel"/>
    <w:tmpl w:val="9E98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33F7A"/>
    <w:multiLevelType w:val="multilevel"/>
    <w:tmpl w:val="F77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B1B51"/>
    <w:multiLevelType w:val="multilevel"/>
    <w:tmpl w:val="2C28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46854"/>
    <w:multiLevelType w:val="multilevel"/>
    <w:tmpl w:val="4776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9633C"/>
    <w:multiLevelType w:val="multilevel"/>
    <w:tmpl w:val="93C46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83C66"/>
    <w:multiLevelType w:val="multilevel"/>
    <w:tmpl w:val="B93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762E7"/>
    <w:multiLevelType w:val="multilevel"/>
    <w:tmpl w:val="0B3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E2016"/>
    <w:multiLevelType w:val="multilevel"/>
    <w:tmpl w:val="6D6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A5632"/>
    <w:multiLevelType w:val="multilevel"/>
    <w:tmpl w:val="EE06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595A83"/>
    <w:multiLevelType w:val="multilevel"/>
    <w:tmpl w:val="3AC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56DFE"/>
    <w:multiLevelType w:val="multilevel"/>
    <w:tmpl w:val="DB4A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8C3132"/>
    <w:multiLevelType w:val="hybridMultilevel"/>
    <w:tmpl w:val="27FEA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F120AA"/>
    <w:multiLevelType w:val="multilevel"/>
    <w:tmpl w:val="B7F4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331E8"/>
    <w:multiLevelType w:val="hybridMultilevel"/>
    <w:tmpl w:val="B3D81D80"/>
    <w:lvl w:ilvl="0" w:tplc="423EA4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FD0C4B"/>
    <w:multiLevelType w:val="multilevel"/>
    <w:tmpl w:val="B44A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AF7E84"/>
    <w:multiLevelType w:val="multilevel"/>
    <w:tmpl w:val="DE7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C15B5"/>
    <w:multiLevelType w:val="multilevel"/>
    <w:tmpl w:val="D650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A3163B"/>
    <w:multiLevelType w:val="multilevel"/>
    <w:tmpl w:val="21F6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982F74"/>
    <w:multiLevelType w:val="multilevel"/>
    <w:tmpl w:val="710C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BD1265"/>
    <w:multiLevelType w:val="multilevel"/>
    <w:tmpl w:val="9C4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3280A"/>
    <w:multiLevelType w:val="multilevel"/>
    <w:tmpl w:val="A214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B16FE3"/>
    <w:multiLevelType w:val="multilevel"/>
    <w:tmpl w:val="4D088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02E62"/>
    <w:multiLevelType w:val="multilevel"/>
    <w:tmpl w:val="4D088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75C47"/>
    <w:multiLevelType w:val="multilevel"/>
    <w:tmpl w:val="C4D8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958AD"/>
    <w:multiLevelType w:val="multilevel"/>
    <w:tmpl w:val="6FA8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527F73"/>
    <w:multiLevelType w:val="multilevel"/>
    <w:tmpl w:val="7AD8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B4237"/>
    <w:multiLevelType w:val="multilevel"/>
    <w:tmpl w:val="FFC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56EDA"/>
    <w:multiLevelType w:val="hybridMultilevel"/>
    <w:tmpl w:val="04E05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627A8E"/>
    <w:multiLevelType w:val="multilevel"/>
    <w:tmpl w:val="BB54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9782B"/>
    <w:multiLevelType w:val="multilevel"/>
    <w:tmpl w:val="C2B04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0F5725"/>
    <w:multiLevelType w:val="multilevel"/>
    <w:tmpl w:val="F552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9258BC"/>
    <w:multiLevelType w:val="multilevel"/>
    <w:tmpl w:val="D1BA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A5EA3"/>
    <w:multiLevelType w:val="multilevel"/>
    <w:tmpl w:val="CC02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BB4FB3"/>
    <w:multiLevelType w:val="hybridMultilevel"/>
    <w:tmpl w:val="7220D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415DBD"/>
    <w:multiLevelType w:val="multilevel"/>
    <w:tmpl w:val="C820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91063"/>
    <w:multiLevelType w:val="multilevel"/>
    <w:tmpl w:val="D38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20E26"/>
    <w:multiLevelType w:val="multilevel"/>
    <w:tmpl w:val="D27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71E61"/>
    <w:multiLevelType w:val="multilevel"/>
    <w:tmpl w:val="43F6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70817"/>
    <w:multiLevelType w:val="multilevel"/>
    <w:tmpl w:val="011A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3764EA"/>
    <w:multiLevelType w:val="hybridMultilevel"/>
    <w:tmpl w:val="872E5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EAC71F1"/>
    <w:multiLevelType w:val="multilevel"/>
    <w:tmpl w:val="D42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8614">
    <w:abstractNumId w:val="30"/>
  </w:num>
  <w:num w:numId="2" w16cid:durableId="802624679">
    <w:abstractNumId w:val="26"/>
  </w:num>
  <w:num w:numId="3" w16cid:durableId="2053462253">
    <w:abstractNumId w:val="5"/>
  </w:num>
  <w:num w:numId="4" w16cid:durableId="349917141">
    <w:abstractNumId w:val="25"/>
  </w:num>
  <w:num w:numId="5" w16cid:durableId="541790793">
    <w:abstractNumId w:val="32"/>
  </w:num>
  <w:num w:numId="6" w16cid:durableId="685519824">
    <w:abstractNumId w:val="45"/>
  </w:num>
  <w:num w:numId="7" w16cid:durableId="1237084842">
    <w:abstractNumId w:val="36"/>
  </w:num>
  <w:num w:numId="8" w16cid:durableId="1824352495">
    <w:abstractNumId w:val="12"/>
  </w:num>
  <w:num w:numId="9" w16cid:durableId="575897577">
    <w:abstractNumId w:val="7"/>
  </w:num>
  <w:num w:numId="10" w16cid:durableId="1943754655">
    <w:abstractNumId w:val="24"/>
  </w:num>
  <w:num w:numId="11" w16cid:durableId="721055353">
    <w:abstractNumId w:val="33"/>
  </w:num>
  <w:num w:numId="12" w16cid:durableId="1960141564">
    <w:abstractNumId w:val="17"/>
  </w:num>
  <w:num w:numId="13" w16cid:durableId="1832989137">
    <w:abstractNumId w:val="46"/>
  </w:num>
  <w:num w:numId="14" w16cid:durableId="539822652">
    <w:abstractNumId w:val="37"/>
  </w:num>
  <w:num w:numId="15" w16cid:durableId="281618874">
    <w:abstractNumId w:val="20"/>
  </w:num>
  <w:num w:numId="16" w16cid:durableId="1263416812">
    <w:abstractNumId w:val="8"/>
  </w:num>
  <w:num w:numId="17" w16cid:durableId="259141475">
    <w:abstractNumId w:val="18"/>
  </w:num>
  <w:num w:numId="18" w16cid:durableId="1259370221">
    <w:abstractNumId w:val="15"/>
  </w:num>
  <w:num w:numId="19" w16cid:durableId="1623533377">
    <w:abstractNumId w:val="42"/>
  </w:num>
  <w:num w:numId="20" w16cid:durableId="1087000253">
    <w:abstractNumId w:val="44"/>
  </w:num>
  <w:num w:numId="21" w16cid:durableId="1249733905">
    <w:abstractNumId w:val="11"/>
  </w:num>
  <w:num w:numId="22" w16cid:durableId="344016813">
    <w:abstractNumId w:val="21"/>
  </w:num>
  <w:num w:numId="23" w16cid:durableId="686640547">
    <w:abstractNumId w:val="0"/>
  </w:num>
  <w:num w:numId="24" w16cid:durableId="1717200049">
    <w:abstractNumId w:val="40"/>
  </w:num>
  <w:num w:numId="25" w16cid:durableId="1791048264">
    <w:abstractNumId w:val="43"/>
  </w:num>
  <w:num w:numId="26" w16cid:durableId="728260747">
    <w:abstractNumId w:val="3"/>
  </w:num>
  <w:num w:numId="27" w16cid:durableId="197280326">
    <w:abstractNumId w:val="29"/>
  </w:num>
  <w:num w:numId="28" w16cid:durableId="746418819">
    <w:abstractNumId w:val="9"/>
  </w:num>
  <w:num w:numId="29" w16cid:durableId="770397831">
    <w:abstractNumId w:val="35"/>
  </w:num>
  <w:num w:numId="30" w16cid:durableId="1977486643">
    <w:abstractNumId w:val="27"/>
  </w:num>
  <w:num w:numId="31" w16cid:durableId="1316759332">
    <w:abstractNumId w:val="10"/>
  </w:num>
  <w:num w:numId="32" w16cid:durableId="2039426226">
    <w:abstractNumId w:val="34"/>
  </w:num>
  <w:num w:numId="33" w16cid:durableId="1928036119">
    <w:abstractNumId w:val="31"/>
  </w:num>
  <w:num w:numId="34" w16cid:durableId="1545676387">
    <w:abstractNumId w:val="4"/>
  </w:num>
  <w:num w:numId="35" w16cid:durableId="1301034254">
    <w:abstractNumId w:val="41"/>
  </w:num>
  <w:num w:numId="36" w16cid:durableId="220603078">
    <w:abstractNumId w:val="14"/>
  </w:num>
  <w:num w:numId="37" w16cid:durableId="1040780720">
    <w:abstractNumId w:val="16"/>
  </w:num>
  <w:num w:numId="38" w16cid:durableId="993608238">
    <w:abstractNumId w:val="23"/>
  </w:num>
  <w:num w:numId="39" w16cid:durableId="1569339792">
    <w:abstractNumId w:val="13"/>
  </w:num>
  <w:num w:numId="40" w16cid:durableId="1809590886">
    <w:abstractNumId w:val="22"/>
  </w:num>
  <w:num w:numId="41" w16cid:durableId="181361493">
    <w:abstractNumId w:val="38"/>
  </w:num>
  <w:num w:numId="42" w16cid:durableId="797141037">
    <w:abstractNumId w:val="6"/>
  </w:num>
  <w:num w:numId="43" w16cid:durableId="399065675">
    <w:abstractNumId w:val="39"/>
  </w:num>
  <w:num w:numId="44" w16cid:durableId="1654484603">
    <w:abstractNumId w:val="1"/>
  </w:num>
  <w:num w:numId="45" w16cid:durableId="2088112703">
    <w:abstractNumId w:val="19"/>
  </w:num>
  <w:num w:numId="46" w16cid:durableId="1318340613">
    <w:abstractNumId w:val="2"/>
  </w:num>
  <w:num w:numId="47" w16cid:durableId="2839312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2A8"/>
    <w:rsid w:val="00003469"/>
    <w:rsid w:val="000334DE"/>
    <w:rsid w:val="00033819"/>
    <w:rsid w:val="00056F36"/>
    <w:rsid w:val="000A5DF5"/>
    <w:rsid w:val="000D3A01"/>
    <w:rsid w:val="000E1F67"/>
    <w:rsid w:val="000F025D"/>
    <w:rsid w:val="000F07D7"/>
    <w:rsid w:val="0011167E"/>
    <w:rsid w:val="001412AD"/>
    <w:rsid w:val="0015426D"/>
    <w:rsid w:val="001560C5"/>
    <w:rsid w:val="00183CC8"/>
    <w:rsid w:val="00196289"/>
    <w:rsid w:val="001A1A10"/>
    <w:rsid w:val="001A73E3"/>
    <w:rsid w:val="001D04D2"/>
    <w:rsid w:val="001D1EFC"/>
    <w:rsid w:val="001E0D54"/>
    <w:rsid w:val="001E2593"/>
    <w:rsid w:val="001E6CFE"/>
    <w:rsid w:val="002110E4"/>
    <w:rsid w:val="002174C1"/>
    <w:rsid w:val="002244AD"/>
    <w:rsid w:val="00240A42"/>
    <w:rsid w:val="00250C3F"/>
    <w:rsid w:val="0025410E"/>
    <w:rsid w:val="00265228"/>
    <w:rsid w:val="00266688"/>
    <w:rsid w:val="00277CD0"/>
    <w:rsid w:val="002914CF"/>
    <w:rsid w:val="002B221B"/>
    <w:rsid w:val="002C1CA9"/>
    <w:rsid w:val="002D0EC3"/>
    <w:rsid w:val="002D7244"/>
    <w:rsid w:val="002F0B11"/>
    <w:rsid w:val="002F2354"/>
    <w:rsid w:val="002F52BD"/>
    <w:rsid w:val="0032072F"/>
    <w:rsid w:val="003408A1"/>
    <w:rsid w:val="00361AB5"/>
    <w:rsid w:val="0037197E"/>
    <w:rsid w:val="003719DB"/>
    <w:rsid w:val="0038059E"/>
    <w:rsid w:val="003850CA"/>
    <w:rsid w:val="003E7D24"/>
    <w:rsid w:val="00420249"/>
    <w:rsid w:val="00442889"/>
    <w:rsid w:val="00445029"/>
    <w:rsid w:val="0046107A"/>
    <w:rsid w:val="004728C3"/>
    <w:rsid w:val="00476FCB"/>
    <w:rsid w:val="00494933"/>
    <w:rsid w:val="004B157B"/>
    <w:rsid w:val="004B70D8"/>
    <w:rsid w:val="004C3892"/>
    <w:rsid w:val="004D6B33"/>
    <w:rsid w:val="00502184"/>
    <w:rsid w:val="0050580D"/>
    <w:rsid w:val="0052131F"/>
    <w:rsid w:val="00534B87"/>
    <w:rsid w:val="005A4EA9"/>
    <w:rsid w:val="005C2A94"/>
    <w:rsid w:val="006076B2"/>
    <w:rsid w:val="00607974"/>
    <w:rsid w:val="006143DC"/>
    <w:rsid w:val="0062369D"/>
    <w:rsid w:val="00636770"/>
    <w:rsid w:val="00642154"/>
    <w:rsid w:val="00671DE7"/>
    <w:rsid w:val="0068491A"/>
    <w:rsid w:val="00690361"/>
    <w:rsid w:val="006A0A53"/>
    <w:rsid w:val="006A5D05"/>
    <w:rsid w:val="006A7F2A"/>
    <w:rsid w:val="006B06C4"/>
    <w:rsid w:val="006C4A94"/>
    <w:rsid w:val="006C5198"/>
    <w:rsid w:val="006D34C5"/>
    <w:rsid w:val="006F7449"/>
    <w:rsid w:val="00701973"/>
    <w:rsid w:val="007354AB"/>
    <w:rsid w:val="007574B4"/>
    <w:rsid w:val="00767530"/>
    <w:rsid w:val="007868FE"/>
    <w:rsid w:val="00792DC4"/>
    <w:rsid w:val="007A0B02"/>
    <w:rsid w:val="007E138D"/>
    <w:rsid w:val="00824B11"/>
    <w:rsid w:val="00833DF3"/>
    <w:rsid w:val="00836206"/>
    <w:rsid w:val="00866316"/>
    <w:rsid w:val="00870B9E"/>
    <w:rsid w:val="00873690"/>
    <w:rsid w:val="00892D89"/>
    <w:rsid w:val="008B4649"/>
    <w:rsid w:val="008C4472"/>
    <w:rsid w:val="008C7970"/>
    <w:rsid w:val="008D624C"/>
    <w:rsid w:val="008E01F4"/>
    <w:rsid w:val="00923A68"/>
    <w:rsid w:val="00931F85"/>
    <w:rsid w:val="0097398E"/>
    <w:rsid w:val="009774A4"/>
    <w:rsid w:val="00990914"/>
    <w:rsid w:val="009D4179"/>
    <w:rsid w:val="009D64B8"/>
    <w:rsid w:val="009E44DE"/>
    <w:rsid w:val="009E6247"/>
    <w:rsid w:val="00A228C6"/>
    <w:rsid w:val="00A37498"/>
    <w:rsid w:val="00A419E7"/>
    <w:rsid w:val="00A43AB8"/>
    <w:rsid w:val="00A4534C"/>
    <w:rsid w:val="00A947A2"/>
    <w:rsid w:val="00AA0540"/>
    <w:rsid w:val="00AB0F73"/>
    <w:rsid w:val="00AC638E"/>
    <w:rsid w:val="00AD6C7F"/>
    <w:rsid w:val="00B17CA6"/>
    <w:rsid w:val="00B46A01"/>
    <w:rsid w:val="00B56DD9"/>
    <w:rsid w:val="00B7704E"/>
    <w:rsid w:val="00B91C51"/>
    <w:rsid w:val="00B92960"/>
    <w:rsid w:val="00B96048"/>
    <w:rsid w:val="00B9632A"/>
    <w:rsid w:val="00BA1453"/>
    <w:rsid w:val="00BC7066"/>
    <w:rsid w:val="00BD38D0"/>
    <w:rsid w:val="00BD4312"/>
    <w:rsid w:val="00BE1664"/>
    <w:rsid w:val="00BE6043"/>
    <w:rsid w:val="00BF1A89"/>
    <w:rsid w:val="00C212BB"/>
    <w:rsid w:val="00C340B7"/>
    <w:rsid w:val="00C50564"/>
    <w:rsid w:val="00C81107"/>
    <w:rsid w:val="00C97028"/>
    <w:rsid w:val="00CA27BC"/>
    <w:rsid w:val="00CB7B91"/>
    <w:rsid w:val="00CD2A69"/>
    <w:rsid w:val="00D0004A"/>
    <w:rsid w:val="00D16C8E"/>
    <w:rsid w:val="00D20C46"/>
    <w:rsid w:val="00D322AA"/>
    <w:rsid w:val="00D36498"/>
    <w:rsid w:val="00D42A08"/>
    <w:rsid w:val="00DA6BE4"/>
    <w:rsid w:val="00DD42A8"/>
    <w:rsid w:val="00DF454E"/>
    <w:rsid w:val="00E21B61"/>
    <w:rsid w:val="00E30D08"/>
    <w:rsid w:val="00E3742B"/>
    <w:rsid w:val="00E56216"/>
    <w:rsid w:val="00E92B99"/>
    <w:rsid w:val="00EB161E"/>
    <w:rsid w:val="00ED3108"/>
    <w:rsid w:val="00ED49BE"/>
    <w:rsid w:val="00ED7284"/>
    <w:rsid w:val="00F057B0"/>
    <w:rsid w:val="00F077E7"/>
    <w:rsid w:val="00F1090C"/>
    <w:rsid w:val="00F13700"/>
    <w:rsid w:val="00F24400"/>
    <w:rsid w:val="00F313D0"/>
    <w:rsid w:val="00F429B6"/>
    <w:rsid w:val="00F43621"/>
    <w:rsid w:val="00F571B8"/>
    <w:rsid w:val="00F92160"/>
    <w:rsid w:val="00FA02C1"/>
    <w:rsid w:val="00FA3BF7"/>
    <w:rsid w:val="00FA474F"/>
    <w:rsid w:val="00FC2F6F"/>
    <w:rsid w:val="00FC3449"/>
    <w:rsid w:val="00FE04A2"/>
    <w:rsid w:val="00FF2D5C"/>
    <w:rsid w:val="00FF3994"/>
    <w:rsid w:val="00FF7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2C2E3"/>
  <w15:docId w15:val="{5ECCFB35-BE22-46F3-9D97-7F731327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Times New Roman" w:eastAsia="Times New Roman" w:hAnsi="Times New Roman" w:cs="Times New Roman"/>
      <w:sz w:val="24"/>
    </w:rPr>
  </w:style>
  <w:style w:type="paragraph" w:styleId="Heading1">
    <w:name w:val="heading 1"/>
    <w:basedOn w:val="Normal"/>
    <w:uiPriority w:val="9"/>
    <w:qFormat/>
    <w:pPr>
      <w:spacing w:before="1"/>
      <w:ind w:left="302"/>
      <w:jc w:val="center"/>
      <w:outlineLvl w:val="0"/>
    </w:pPr>
    <w:rPr>
      <w:rFonts w:ascii="Times New Roman" w:hAnsi="Times New Roman"/>
      <w:b/>
      <w:bCs/>
      <w:sz w:val="32"/>
      <w:szCs w:val="36"/>
    </w:rPr>
  </w:style>
  <w:style w:type="paragraph" w:styleId="Heading2">
    <w:name w:val="heading 2"/>
    <w:basedOn w:val="Normal"/>
    <w:uiPriority w:val="9"/>
    <w:unhideWhenUsed/>
    <w:qFormat/>
    <w:pPr>
      <w:ind w:left="12"/>
      <w:jc w:val="center"/>
      <w:outlineLvl w:val="1"/>
    </w:pPr>
    <w:rPr>
      <w:rFonts w:ascii="Times New Roman" w:hAnsi="Times New Roman"/>
      <w:b/>
      <w:bCs/>
      <w:sz w:val="28"/>
      <w:szCs w:val="32"/>
    </w:rPr>
  </w:style>
  <w:style w:type="paragraph" w:styleId="Heading3">
    <w:name w:val="heading 3"/>
    <w:basedOn w:val="Normal"/>
    <w:uiPriority w:val="9"/>
    <w:unhideWhenUsed/>
    <w:qFormat/>
    <w:pPr>
      <w:spacing w:before="143"/>
      <w:ind w:left="1724" w:right="1239"/>
      <w:jc w:val="center"/>
      <w:outlineLvl w:val="2"/>
    </w:pPr>
    <w:rPr>
      <w:rFonts w:ascii="Times New Roman" w:hAnsi="Times New Roman"/>
      <w:b/>
      <w:bCs/>
      <w:sz w:val="24"/>
      <w:szCs w:val="30"/>
    </w:rPr>
  </w:style>
  <w:style w:type="paragraph" w:styleId="Heading4">
    <w:name w:val="heading 4"/>
    <w:basedOn w:val="Normal"/>
    <w:uiPriority w:val="9"/>
    <w:unhideWhenUsed/>
    <w:qFormat/>
    <w:pPr>
      <w:spacing w:before="1"/>
      <w:ind w:left="1612" w:right="1294"/>
      <w:jc w:val="center"/>
      <w:outlineLvl w:val="3"/>
    </w:pPr>
    <w:rPr>
      <w:b/>
      <w:bCs/>
      <w:sz w:val="28"/>
      <w:szCs w:val="28"/>
    </w:rPr>
  </w:style>
  <w:style w:type="paragraph" w:styleId="Heading5">
    <w:name w:val="heading 5"/>
    <w:basedOn w:val="Normal"/>
    <w:uiPriority w:val="9"/>
    <w:unhideWhenUsed/>
    <w:qFormat/>
    <w:pPr>
      <w:ind w:left="1612"/>
      <w:jc w:val="center"/>
      <w:outlineLvl w:val="4"/>
    </w:pPr>
    <w:rPr>
      <w:b/>
      <w:bCs/>
      <w:i/>
      <w:iCs/>
      <w:sz w:val="28"/>
      <w:szCs w:val="28"/>
    </w:rPr>
  </w:style>
  <w:style w:type="paragraph" w:styleId="Heading6">
    <w:name w:val="heading 6"/>
    <w:basedOn w:val="Normal"/>
    <w:uiPriority w:val="9"/>
    <w:unhideWhenUsed/>
    <w:qFormat/>
    <w:pPr>
      <w:ind w:left="165" w:right="103" w:firstLine="540"/>
      <w:jc w:val="both"/>
      <w:outlineLvl w:val="5"/>
    </w:pPr>
    <w:rPr>
      <w:sz w:val="28"/>
      <w:szCs w:val="28"/>
    </w:rPr>
  </w:style>
  <w:style w:type="paragraph" w:styleId="Heading7">
    <w:name w:val="heading 7"/>
    <w:basedOn w:val="Normal"/>
    <w:uiPriority w:val="1"/>
    <w:qFormat/>
    <w:pPr>
      <w:ind w:left="164"/>
      <w:outlineLvl w:val="6"/>
    </w:pPr>
    <w:rPr>
      <w:b/>
      <w:bCs/>
      <w:sz w:val="24"/>
      <w:szCs w:val="24"/>
    </w:rPr>
  </w:style>
  <w:style w:type="paragraph" w:styleId="Heading8">
    <w:name w:val="heading 8"/>
    <w:basedOn w:val="Normal"/>
    <w:uiPriority w:val="1"/>
    <w:qFormat/>
    <w:pPr>
      <w:spacing w:before="3"/>
      <w:ind w:left="1612" w:right="1308"/>
      <w:jc w:val="center"/>
      <w:outlineLvl w:val="7"/>
    </w:pPr>
    <w:rPr>
      <w:b/>
      <w:bCs/>
      <w:sz w:val="24"/>
      <w:szCs w:val="24"/>
    </w:rPr>
  </w:style>
  <w:style w:type="paragraph" w:styleId="Heading9">
    <w:name w:val="heading 9"/>
    <w:basedOn w:val="Normal"/>
    <w:uiPriority w:val="1"/>
    <w:qFormat/>
    <w:pPr>
      <w:ind w:left="12"/>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A1453"/>
    <w:pPr>
      <w:tabs>
        <w:tab w:val="center" w:pos="4513"/>
        <w:tab w:val="right" w:pos="9026"/>
      </w:tabs>
    </w:pPr>
  </w:style>
  <w:style w:type="character" w:customStyle="1" w:styleId="HeaderChar">
    <w:name w:val="Header Char"/>
    <w:basedOn w:val="DefaultParagraphFont"/>
    <w:link w:val="Header"/>
    <w:uiPriority w:val="99"/>
    <w:rsid w:val="00BA1453"/>
    <w:rPr>
      <w:rFonts w:ascii="Times New Roman" w:eastAsia="Times New Roman" w:hAnsi="Times New Roman" w:cs="Times New Roman"/>
    </w:rPr>
  </w:style>
  <w:style w:type="paragraph" w:styleId="Footer">
    <w:name w:val="footer"/>
    <w:basedOn w:val="Normal"/>
    <w:link w:val="FooterChar"/>
    <w:uiPriority w:val="99"/>
    <w:unhideWhenUsed/>
    <w:rsid w:val="00BA1453"/>
    <w:pPr>
      <w:tabs>
        <w:tab w:val="center" w:pos="4513"/>
        <w:tab w:val="right" w:pos="9026"/>
      </w:tabs>
    </w:pPr>
  </w:style>
  <w:style w:type="character" w:customStyle="1" w:styleId="FooterChar">
    <w:name w:val="Footer Char"/>
    <w:basedOn w:val="DefaultParagraphFont"/>
    <w:link w:val="Footer"/>
    <w:uiPriority w:val="99"/>
    <w:rsid w:val="00BA145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EC25F-B150-47AD-8C11-5055C9E38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64</Pages>
  <Words>11970</Words>
  <Characters>68235</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REFINE: Evidence-Weighted Research Gap Validation — Project Report</dc:title>
  <dc:subject/>
  <dc:creator>Muthuveal V; Pavithran M</dc:creator>
  <cp:keywords/>
  <dc:description/>
  <cp:lastModifiedBy>RAHUL JOSHVA M</cp:lastModifiedBy>
  <cp:revision>11</cp:revision>
  <dcterms:created xsi:type="dcterms:W3CDTF">2026-10-20T08:39:00Z</dcterms:created>
  <dcterms:modified xsi:type="dcterms:W3CDTF">2026-10-20T09:42:00Z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LastSaved">
    <vt:filetime>2026-10-17T00:00:00Z</vt:filetime>
  </property>
  <property fmtid="{D5CDD505-2E9C-101B-9397-08002B2CF9AE}" pid="5" name="Producer">
    <vt:lpwstr>iLovePDF</vt:lpwstr>
  </property>
</Properties>
</file>