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ResearchRAG – Understanding</w:t>
      </w:r>
    </w:p>
    <w:p>
      <w:pPr>
        <w:jc w:val="center"/>
      </w:pPr>
      <w:r>
        <w:rPr>
          <w:i/>
          <w:sz w:val="22"/>
        </w:rPr>
        <w:t>Conversation-derived extraction and organization</w:t>
      </w:r>
    </w:p>
    <w:p>
      <w:r>
        <w:rPr>
          <w:b/>
        </w:rPr>
        <w:t xml:space="preserve">Source boundary: </w:t>
      </w:r>
      <w:r>
        <w:t>This document is an extraction and organization of material already present in the conversation, including the uploaded HySemRAG.pdf, ResearchRAG_A_Knowledge-Graph-Enhanced_Hybrid_Mult.pdf, and the pasted conversation-summary material. No new research content is intentionally added.</w:t>
      </w:r>
    </w:p>
    <w:p>
      <w:pPr>
        <w:pStyle w:val="Heading1"/>
      </w:pPr>
      <w:r>
        <w:t>1. Paper Identity and Status</w:t>
      </w:r>
    </w:p>
    <w:p>
      <w:r>
        <w:t>Title: ResearchRAG: A Knowledge-Graph-Enhanced Hybrid Multi-Agent RAG Framework for Academic Literature Analysis and Adaptive Research Gap Discovery</w:t>
      </w:r>
    </w:p>
    <w:p>
      <w:r>
        <w:t>Author: Aritrik Ghosh, Department of Computer Science and Engineering, Swami Vivekananda University, Kolkata, India. ORCID shown in the paper: 0009-0003-7016-3315.</w:t>
      </w:r>
    </w:p>
    <w:p>
      <w:r>
        <w:t>Posted date shown in the uploaded paper: June 16, 2026. DOI: 10.21203/rs.3.rs-10028443/v1. The conversation identified it as a Research Square preprint and advised not to treat it as a peer-reviewed publication unless a later published version is established.</w:t>
      </w:r>
    </w:p>
    <w:p>
      <w:r>
        <w:t>Keywords: Retrieval-Augmented Generation, Multi-Agent Systems, Knowledge Graph, Academic Literature Analysis, Research Gap Identification, Hybrid Retrieval, Self-Correcting RAG, Graph Neural Networks, FAISS, BM25, Neo4j.</w:t>
      </w:r>
    </w:p>
    <w:p>
      <w:pPr>
        <w:pStyle w:val="Heading1"/>
      </w:pPr>
      <w:r>
        <w:t>2. Abstract-Level Understanding</w:t>
      </w:r>
    </w:p>
    <w:p>
      <w:r>
        <w:t>ResearchRAG presents a Knowledge-Graph-Enhanced Hybrid Multi-Agent RAG framework with three highlighted contributions:</w:t>
      </w:r>
    </w:p>
    <w:p>
      <w:pPr>
        <w:pStyle w:val="ListNumber"/>
      </w:pPr>
      <w:r>
        <w:t>An entity-linked Academic Knowledge Graph (AKG) constructed via SciSpaCy NER and stored in Neo4j, augmenting retrieval with structured relational context.</w:t>
      </w:r>
    </w:p>
    <w:p>
      <w:pPr>
        <w:pStyle w:val="ListNumber"/>
      </w:pPr>
      <w:r>
        <w:t>A Graph-Attention-Network-based Research Gap Scoring (GNN-RGS) module that predicts knowledge density over AKG subgraphs to identify underexplored concept clusters.</w:t>
      </w:r>
    </w:p>
    <w:p>
      <w:pPr>
        <w:pStyle w:val="ListNumber"/>
      </w:pPr>
      <w:r>
        <w:t>A Citation-Aware Self-Correcting Generation (CSCG) loop that iteratively re-retrieves evidence for unsupported claims.</w:t>
      </w:r>
    </w:p>
    <w:p>
      <w:r>
        <w:t>The paper reports evaluation on TREC-COVID and SCIDOCS with a custom gap-annotation layer, 2,500 queries total, Precision@10 of 0.831, MRR of 0.774, BERTScore F1 of 0.871, statistically significant improvements under Wilcoxon signed-rank testing with Bonferroni correction, and a 58.3% relative hallucination reduction versus baseline RAG.</w:t>
      </w:r>
    </w:p>
    <w:p>
      <w:pPr>
        <w:pStyle w:val="Heading1"/>
      </w:pPr>
      <w:r>
        <w:t>3. Motivation and Claimed Deficiencies</w:t>
      </w:r>
    </w:p>
    <w:p>
      <w:pPr>
        <w:pStyle w:val="ListBullet"/>
      </w:pPr>
      <w:r>
        <w:t>Traditional keyword-based search does not support higher-order tasks such as thematic synthesis, methodological comparison, or systematic identification of underexplored research directions.</w:t>
      </w:r>
    </w:p>
    <w:p>
      <w:pPr>
        <w:pStyle w:val="ListBullet"/>
      </w:pPr>
      <w:r>
        <w:t>LLMs have temporal knowledge cutoffs and can hallucinate.</w:t>
      </w:r>
    </w:p>
    <w:p>
      <w:pPr>
        <w:pStyle w:val="ListBullet"/>
      </w:pPr>
      <w:r>
        <w:t>Standard RAG is described as ill-suited to academic analysis requiring multi-hop reasoning and contrastive synthesis.</w:t>
      </w:r>
    </w:p>
    <w:p>
      <w:pPr>
        <w:pStyle w:val="ListBullet"/>
      </w:pPr>
      <w:r>
        <w:t>The paper identifies dense-only or sparse-only retrieval as a deficiency.</w:t>
      </w:r>
    </w:p>
    <w:p>
      <w:pPr>
        <w:pStyle w:val="ListBullet"/>
      </w:pPr>
      <w:r>
        <w:t>It claims a lack of structured gap identification in existing tools.</w:t>
      </w:r>
    </w:p>
    <w:p>
      <w:pPr>
        <w:pStyle w:val="ListBullet"/>
      </w:pPr>
      <w:r>
        <w:t>It identifies citation hallucination as a problem.</w:t>
      </w:r>
    </w:p>
    <w:p>
      <w:pPr>
        <w:pStyle w:val="ListBullet"/>
      </w:pPr>
      <w:r>
        <w:t>It argues that treating retrieved passages as unstructured text discards entity-level and citation-level graph structure.</w:t>
      </w:r>
    </w:p>
    <w:p>
      <w:pPr>
        <w:pStyle w:val="Heading1"/>
      </w:pPr>
      <w:r>
        <w:t>4. Capability Comparison Discussed in ResearchRAG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tblHeader w:val="true"/>
        </w:trPr>
        <w:tc>
          <w:tcPr>
            <w:tcW w:type="dxa" w:w="1419"/>
            <w:shd w:fill="D9EAF7"/>
            <w:vAlign w:val="center"/>
          </w:tcPr>
          <w:p>
            <w:r>
              <w:rPr>
                <w:b/>
              </w:rPr>
              <w:t>System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rPr>
                <w:b/>
              </w:rPr>
              <w:t>Hybrid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rPr>
                <w:b/>
              </w:rPr>
              <w:t>KG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rPr>
                <w:b/>
              </w:rPr>
              <w:t>Multi-Agent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rPr>
                <w:b/>
              </w:rPr>
              <w:t>Gap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rPr>
                <w:b/>
              </w:rPr>
              <w:t>Self-Correcting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rPr>
                <w:b/>
              </w:rPr>
              <w:t>Academic</w:t>
            </w:r>
          </w:p>
        </w:tc>
      </w:tr>
      <w:tr>
        <w:tc>
          <w:tcPr>
            <w:tcW w:type="dxa" w:w="1419"/>
            <w:vAlign w:val="top"/>
          </w:tcPr>
          <w:p>
            <w:r>
              <w:t>Standard RAG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</w:tr>
      <w:tr>
        <w:tc>
          <w:tcPr>
            <w:tcW w:type="dxa" w:w="1419"/>
            <w:vAlign w:val="top"/>
          </w:tcPr>
          <w:p>
            <w:r>
              <w:t>Self-RAG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  <w:tc>
          <w:tcPr>
            <w:tcW w:type="dxa" w:w="1419"/>
            <w:vAlign w:val="top"/>
          </w:tcPr>
          <w:p>
            <w:r>
              <w:t>✓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</w:tr>
      <w:tr>
        <w:tc>
          <w:tcPr>
            <w:tcW w:type="dxa" w:w="1419"/>
            <w:vAlign w:val="top"/>
          </w:tcPr>
          <w:p>
            <w:r>
              <w:t>CRAG</w:t>
            </w:r>
          </w:p>
        </w:tc>
        <w:tc>
          <w:tcPr>
            <w:tcW w:type="dxa" w:w="1419"/>
            <w:vAlign w:val="top"/>
          </w:tcPr>
          <w:p>
            <w:r>
              <w:t>✓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  <w:tc>
          <w:tcPr>
            <w:tcW w:type="dxa" w:w="1419"/>
            <w:vAlign w:val="top"/>
          </w:tcPr>
          <w:p>
            <w:r>
              <w:t>✓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</w:tr>
      <w:tr>
        <w:tc>
          <w:tcPr>
            <w:tcW w:type="dxa" w:w="1419"/>
            <w:vAlign w:val="top"/>
          </w:tcPr>
          <w:p>
            <w:r>
              <w:t>GraphRAG</w:t>
            </w:r>
          </w:p>
        </w:tc>
        <w:tc>
          <w:tcPr>
            <w:tcW w:type="dxa" w:w="1419"/>
            <w:vAlign w:val="top"/>
          </w:tcPr>
          <w:p>
            <w:r>
              <w:t>P</w:t>
            </w:r>
          </w:p>
        </w:tc>
        <w:tc>
          <w:tcPr>
            <w:tcW w:type="dxa" w:w="1419"/>
            <w:vAlign w:val="top"/>
          </w:tcPr>
          <w:p>
            <w:r>
              <w:t>✓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  <w:tc>
          <w:tcPr>
            <w:tcW w:type="dxa" w:w="1419"/>
            <w:vAlign w:val="top"/>
          </w:tcPr>
          <w:p>
            <w:r>
              <w:t>P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</w:tr>
      <w:tr>
        <w:tc>
          <w:tcPr>
            <w:tcW w:type="dxa" w:w="1419"/>
            <w:vAlign w:val="top"/>
          </w:tcPr>
          <w:p>
            <w:r>
              <w:t>Agentic RAG</w:t>
            </w:r>
          </w:p>
        </w:tc>
        <w:tc>
          <w:tcPr>
            <w:tcW w:type="dxa" w:w="1419"/>
            <w:vAlign w:val="top"/>
          </w:tcPr>
          <w:p>
            <w:r>
              <w:t>✓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  <w:tc>
          <w:tcPr>
            <w:tcW w:type="dxa" w:w="1419"/>
            <w:vAlign w:val="top"/>
          </w:tcPr>
          <w:p>
            <w:r>
              <w:t>✓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</w:tr>
      <w:tr>
        <w:tc>
          <w:tcPr>
            <w:tcW w:type="dxa" w:w="1419"/>
            <w:vAlign w:val="top"/>
          </w:tcPr>
          <w:p>
            <w:r>
              <w:t>AutoSurvey</w:t>
            </w:r>
          </w:p>
        </w:tc>
        <w:tc>
          <w:tcPr>
            <w:tcW w:type="dxa" w:w="1419"/>
            <w:vAlign w:val="top"/>
          </w:tcPr>
          <w:p>
            <w:r>
              <w:t>P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  <w:tc>
          <w:tcPr>
            <w:tcW w:type="dxa" w:w="1419"/>
            <w:vAlign w:val="top"/>
          </w:tcPr>
          <w:p>
            <w:r>
              <w:t>P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  <w:tc>
          <w:tcPr>
            <w:tcW w:type="dxa" w:w="1419"/>
            <w:vAlign w:val="top"/>
          </w:tcPr>
          <w:p>
            <w:r>
              <w:t>✓</w:t>
            </w:r>
          </w:p>
        </w:tc>
      </w:tr>
      <w:tr>
        <w:tc>
          <w:tcPr>
            <w:tcW w:type="dxa" w:w="1419"/>
            <w:vAlign w:val="top"/>
          </w:tcPr>
          <w:p>
            <w:r>
              <w:t>LightRAG</w:t>
            </w:r>
          </w:p>
        </w:tc>
        <w:tc>
          <w:tcPr>
            <w:tcW w:type="dxa" w:w="1419"/>
            <w:vAlign w:val="top"/>
          </w:tcPr>
          <w:p>
            <w:r>
              <w:t>P</w:t>
            </w:r>
          </w:p>
        </w:tc>
        <w:tc>
          <w:tcPr>
            <w:tcW w:type="dxa" w:w="1419"/>
            <w:vAlign w:val="top"/>
          </w:tcPr>
          <w:p>
            <w:r>
              <w:t>✓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</w:tr>
      <w:tr>
        <w:tc>
          <w:tcPr>
            <w:tcW w:type="dxa" w:w="1419"/>
            <w:vAlign w:val="top"/>
          </w:tcPr>
          <w:p>
            <w:r>
              <w:t>HippoRAG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  <w:tc>
          <w:tcPr>
            <w:tcW w:type="dxa" w:w="1419"/>
            <w:vAlign w:val="top"/>
          </w:tcPr>
          <w:p>
            <w:r>
              <w:t>✓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</w:tr>
      <w:tr>
        <w:tc>
          <w:tcPr>
            <w:tcW w:type="dxa" w:w="1419"/>
            <w:vAlign w:val="top"/>
          </w:tcPr>
          <w:p>
            <w:r>
              <w:t>RAPTOR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</w:tr>
      <w:tr>
        <w:tc>
          <w:tcPr>
            <w:tcW w:type="dxa" w:w="1419"/>
            <w:vAlign w:val="top"/>
          </w:tcPr>
          <w:p>
            <w:r>
              <w:t>KAG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  <w:tc>
          <w:tcPr>
            <w:tcW w:type="dxa" w:w="1419"/>
            <w:vAlign w:val="top"/>
          </w:tcPr>
          <w:p>
            <w:r>
              <w:t>✓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</w:tr>
      <w:tr>
        <w:tc>
          <w:tcPr>
            <w:tcW w:type="dxa" w:w="1419"/>
            <w:vAlign w:val="top"/>
          </w:tcPr>
          <w:p>
            <w:r>
              <w:t>LazyGraphRAG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  <w:tc>
          <w:tcPr>
            <w:tcW w:type="dxa" w:w="1419"/>
            <w:vAlign w:val="top"/>
          </w:tcPr>
          <w:p>
            <w:r>
              <w:t>✓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</w:tr>
      <w:tr>
        <w:tc>
          <w:tcPr>
            <w:tcW w:type="dxa" w:w="1419"/>
            <w:vAlign w:val="top"/>
          </w:tcPr>
          <w:p>
            <w:r>
              <w:t>ResearchRAG</w:t>
            </w:r>
          </w:p>
        </w:tc>
        <w:tc>
          <w:tcPr>
            <w:tcW w:type="dxa" w:w="1419"/>
            <w:vAlign w:val="top"/>
          </w:tcPr>
          <w:p>
            <w:r>
              <w:t>✓</w:t>
            </w:r>
          </w:p>
        </w:tc>
        <w:tc>
          <w:tcPr>
            <w:tcW w:type="dxa" w:w="1419"/>
            <w:vAlign w:val="top"/>
          </w:tcPr>
          <w:p>
            <w:r>
              <w:t>✓</w:t>
            </w:r>
          </w:p>
        </w:tc>
        <w:tc>
          <w:tcPr>
            <w:tcW w:type="dxa" w:w="1419"/>
            <w:vAlign w:val="top"/>
          </w:tcPr>
          <w:p>
            <w:r>
              <w:t>✓</w:t>
            </w:r>
          </w:p>
        </w:tc>
        <w:tc>
          <w:tcPr>
            <w:tcW w:type="dxa" w:w="1419"/>
            <w:vAlign w:val="top"/>
          </w:tcPr>
          <w:p>
            <w:r>
              <w:t>✓</w:t>
            </w:r>
          </w:p>
        </w:tc>
        <w:tc>
          <w:tcPr>
            <w:tcW w:type="dxa" w:w="1419"/>
            <w:vAlign w:val="top"/>
          </w:tcPr>
          <w:p>
            <w:r>
              <w:t>✓</w:t>
            </w:r>
          </w:p>
        </w:tc>
        <w:tc>
          <w:tcPr>
            <w:tcW w:type="dxa" w:w="1419"/>
            <w:vAlign w:val="top"/>
          </w:tcPr>
          <w:p>
            <w:r>
              <w:t>✓</w:t>
            </w:r>
          </w:p>
        </w:tc>
      </w:tr>
    </w:tbl>
    <w:p>
      <w:pPr>
        <w:pStyle w:val="Heading1"/>
      </w:pPr>
      <w:r>
        <w:t>5. Related RAG Systems Discussed</w:t>
      </w:r>
    </w:p>
    <w:p>
      <w:pPr>
        <w:pStyle w:val="ListBullet"/>
      </w:pPr>
      <w:r>
        <w:t>Standard RAG: foundational RAG.</w:t>
      </w:r>
    </w:p>
    <w:p>
      <w:pPr>
        <w:pStyle w:val="ListBullet"/>
      </w:pPr>
      <w:r>
        <w:t>Self-RAG: adaptive retrieval and self-reflection tokens (REFLECT, ISREL, ISSUP, ISUSE).</w:t>
      </w:r>
    </w:p>
    <w:p>
      <w:pPr>
        <w:pStyle w:val="ListBullet"/>
      </w:pPr>
      <w:r>
        <w:t>CRAG: retrieval evaluator and web-search fallback.</w:t>
      </w:r>
    </w:p>
    <w:p>
      <w:pPr>
        <w:pStyle w:val="ListBullet"/>
      </w:pPr>
      <w:r>
        <w:t>GraphRAG: community-summarised knowledge graphs for global thematic reasoning.</w:t>
      </w:r>
    </w:p>
    <w:p>
      <w:pPr>
        <w:pStyle w:val="ListBullet"/>
      </w:pPr>
      <w:r>
        <w:t>LightRAG: lightweight KG construction through entity recognition and fuzzy clustering.</w:t>
      </w:r>
    </w:p>
    <w:p>
      <w:pPr>
        <w:pStyle w:val="ListBullet"/>
      </w:pPr>
      <w:r>
        <w:t>HippoRAG: heterogeneous graph modelling with type-specific attention mechanisms.</w:t>
      </w:r>
    </w:p>
    <w:p>
      <w:pPr>
        <w:pStyle w:val="ListBullet"/>
      </w:pPr>
      <w:r>
        <w:t>RAPTOR: recursive clustering and summarisation of document trees for hierarchical retrieval.</w:t>
      </w:r>
    </w:p>
    <w:p>
      <w:pPr>
        <w:pStyle w:val="ListBullet"/>
      </w:pPr>
      <w:r>
        <w:t>KAG: knowledge-graph traversal coupled with generation through contrastive learning.</w:t>
      </w:r>
    </w:p>
    <w:p>
      <w:pPr>
        <w:pStyle w:val="ListBullet"/>
      </w:pPr>
      <w:r>
        <w:t>LazyGraphRAG: on-demand subgraph indexes during retrieval.</w:t>
      </w:r>
    </w:p>
    <w:p>
      <w:pPr>
        <w:pStyle w:val="ListBullet"/>
      </w:pPr>
      <w:r>
        <w:t>AutoGen and LangChain Agents: specialised agent collaboration via ReAct-style loops.</w:t>
      </w:r>
    </w:p>
    <w:p>
      <w:pPr>
        <w:pStyle w:val="ListBullet"/>
      </w:pPr>
      <w:r>
        <w:t>Agentic RAG: planning, retrieval, and generation separated into agents.</w:t>
      </w:r>
    </w:p>
    <w:p>
      <w:pPr>
        <w:pStyle w:val="ListBullet"/>
      </w:pPr>
      <w:r>
        <w:t>KGRAG: entity-linked KG traversal for multi-hop QA.</w:t>
      </w:r>
    </w:p>
    <w:p>
      <w:pPr>
        <w:pStyle w:val="ListBullet"/>
      </w:pPr>
      <w:r>
        <w:t>SPECTER: citation-graph-based document representations.</w:t>
      </w:r>
    </w:p>
    <w:p>
      <w:pPr>
        <w:pStyle w:val="ListBullet"/>
      </w:pPr>
      <w:r>
        <w:t>AutoSurvey: LLM-based survey generation without KG or GNN gap scoring.</w:t>
      </w:r>
    </w:p>
    <w:p>
      <w:pPr>
        <w:pStyle w:val="Heading1"/>
      </w:pPr>
      <w:r>
        <w:t>6. Overall ResearchRAG Architecture</w:t>
      </w:r>
    </w:p>
    <w:p>
      <w:pPr>
        <w:pStyle w:val="NoSpacing"/>
      </w:pPr>
      <w:r>
        <w:rPr>
          <w:rFonts w:ascii="Consolas" w:hAnsi="Consolas" w:eastAsia="Consolas"/>
          <w:sz w:val="18"/>
        </w:rPr>
        <w:t>Academic Papers</w:t>
        <w:br/>
        <w:t xml:space="preserve">      ↓</w:t>
        <w:br/>
        <w:t>Document Ingestion and Indexing</w:t>
        <w:br/>
        <w:t xml:space="preserve">      ↓</w:t>
        <w:br/>
        <w:t>Academic Knowledge Graph Construction</w:t>
        <w:br/>
        <w:t xml:space="preserve">      ↓</w:t>
        <w:br/>
        <w:t>Hybrid Retrieval + KG Augmentation</w:t>
        <w:br/>
        <w:t xml:space="preserve">      ↓</w:t>
        <w:br/>
        <w:t>Multi-Agent Orchestration</w:t>
        <w:br/>
        <w:t xml:space="preserve">      ↓</w:t>
        <w:br/>
        <w:t>GNN-Based Research Gap Scoring</w:t>
        <w:br/>
        <w:t xml:space="preserve">      ↓</w:t>
        <w:br/>
        <w:t>Citation-Aware Self-Correcting Generation</w:t>
        <w:br/>
        <w:t xml:space="preserve">      ↓</w:t>
        <w:br/>
        <w:t>Structured / verified output</w:t>
        <w:br/>
        <w:br/>
        <w:t>CSCG feedback:</w:t>
        <w:br/>
        <w:t>Generated claim → citation/evidence check</w:t>
        <w:br/>
        <w:t xml:space="preserve">       ↓ unsupported</w:t>
        <w:br/>
        <w:t>targeted re-retrieval → revise</w:t>
        <w:br/>
        <w:t xml:space="preserve">       ↓ still unsupported</w:t>
        <w:br/>
        <w:t>[UNCERTAIN]</w:t>
      </w:r>
    </w:p>
    <w:p>
      <w:pPr>
        <w:pStyle w:val="Heading1"/>
      </w:pPr>
      <w:r>
        <w:t>7. Academic Knowledge Graph</w:t>
      </w:r>
    </w:p>
    <w:p>
      <w:pPr>
        <w:pStyle w:val="ListBullet"/>
      </w:pPr>
      <w:r>
        <w:t>SciSpaCy en_core_sci_lg extracts scientific entities from 256-token document chunks.</w:t>
      </w:r>
    </w:p>
    <w:p>
      <w:pPr>
        <w:pStyle w:val="ListBullet"/>
      </w:pPr>
      <w:r>
        <w:t>Entities include methods, datasets, tasks, metrics, and models.</w:t>
      </w:r>
    </w:p>
    <w:p>
      <w:pPr>
        <w:pStyle w:val="ListBullet"/>
      </w:pPr>
      <w:r>
        <w:t>Entities are canonicalised through fuzzy matching against the Computer Science Ontology (CSO) and UMLS.</w:t>
      </w:r>
    </w:p>
    <w:p>
      <w:pPr>
        <w:pStyle w:val="ListBullet"/>
      </w:pPr>
      <w:r>
        <w:t>The AKG stores co-occurrence edges weighted by within-chunk frequency, citation edges from the Semantic Scholar graph, and authorship edges.</w:t>
      </w:r>
    </w:p>
    <w:p>
      <w:pPr>
        <w:pStyle w:val="ListBullet"/>
      </w:pPr>
      <w:r>
        <w:t>Graph is stored in Neo4j 5.x with GDS 2.6.</w:t>
      </w:r>
    </w:p>
    <w:p>
      <w:pPr>
        <w:pStyle w:val="ListBullet"/>
      </w:pPr>
      <w:r>
        <w:t>The paper reports approximately 1.4 million nodes and 8.7 million edges.</w:t>
      </w:r>
    </w:p>
    <w:p>
      <w:pPr>
        <w:pStyle w:val="Heading1"/>
      </w:pPr>
      <w:r>
        <w:t>8. AKG Statistics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968"/>
            <w:vAlign w:val="top"/>
          </w:tcPr>
          <w:p>
            <w:r>
              <w:t>Total Nodes</w:t>
            </w:r>
          </w:p>
        </w:tc>
        <w:tc>
          <w:tcPr>
            <w:tcW w:type="dxa" w:w="4968"/>
            <w:vAlign w:val="top"/>
          </w:tcPr>
          <w:p>
            <w:r>
              <w:t>1,402,847</w:t>
            </w:r>
          </w:p>
        </w:tc>
      </w:tr>
      <w:tr>
        <w:tc>
          <w:tcPr>
            <w:tcW w:type="dxa" w:w="4968"/>
            <w:vAlign w:val="top"/>
          </w:tcPr>
          <w:p>
            <w:r>
              <w:t>Total Edges</w:t>
            </w:r>
          </w:p>
        </w:tc>
        <w:tc>
          <w:tcPr>
            <w:tcW w:type="dxa" w:w="4968"/>
            <w:vAlign w:val="top"/>
          </w:tcPr>
          <w:p>
            <w:r>
              <w:t>8,721,563</w:t>
            </w:r>
          </w:p>
        </w:tc>
      </w:tr>
      <w:tr>
        <w:tc>
          <w:tcPr>
            <w:tcW w:type="dxa" w:w="4968"/>
            <w:vAlign w:val="top"/>
          </w:tcPr>
          <w:p>
            <w:r>
              <w:t>Method Entities</w:t>
            </w:r>
          </w:p>
        </w:tc>
        <w:tc>
          <w:tcPr>
            <w:tcW w:type="dxa" w:w="4968"/>
            <w:vAlign w:val="top"/>
          </w:tcPr>
          <w:p>
            <w:r>
              <w:t>287,541 (20.5%)</w:t>
            </w:r>
          </w:p>
        </w:tc>
      </w:tr>
      <w:tr>
        <w:tc>
          <w:tcPr>
            <w:tcW w:type="dxa" w:w="4968"/>
            <w:vAlign w:val="top"/>
          </w:tcPr>
          <w:p>
            <w:r>
              <w:t>Dataset Entities</w:t>
            </w:r>
          </w:p>
        </w:tc>
        <w:tc>
          <w:tcPr>
            <w:tcW w:type="dxa" w:w="4968"/>
            <w:vAlign w:val="top"/>
          </w:tcPr>
          <w:p>
            <w:r>
              <w:t>156,283 (11.1%)</w:t>
            </w:r>
          </w:p>
        </w:tc>
      </w:tr>
      <w:tr>
        <w:tc>
          <w:tcPr>
            <w:tcW w:type="dxa" w:w="4968"/>
            <w:vAlign w:val="top"/>
          </w:tcPr>
          <w:p>
            <w:r>
              <w:t>Metric Entities</w:t>
            </w:r>
          </w:p>
        </w:tc>
        <w:tc>
          <w:tcPr>
            <w:tcW w:type="dxa" w:w="4968"/>
            <w:vAlign w:val="top"/>
          </w:tcPr>
          <w:p>
            <w:r>
              <w:t>94,127 (6.7%)</w:t>
            </w:r>
          </w:p>
        </w:tc>
      </w:tr>
      <w:tr>
        <w:tc>
          <w:tcPr>
            <w:tcW w:type="dxa" w:w="4968"/>
            <w:vAlign w:val="top"/>
          </w:tcPr>
          <w:p>
            <w:r>
              <w:t>Task Entities</w:t>
            </w:r>
          </w:p>
        </w:tc>
        <w:tc>
          <w:tcPr>
            <w:tcW w:type="dxa" w:w="4968"/>
            <w:vAlign w:val="top"/>
          </w:tcPr>
          <w:p>
            <w:r>
              <w:t>213,805 (15.2%)</w:t>
            </w:r>
          </w:p>
        </w:tc>
      </w:tr>
      <w:tr>
        <w:tc>
          <w:tcPr>
            <w:tcW w:type="dxa" w:w="4968"/>
            <w:vAlign w:val="top"/>
          </w:tcPr>
          <w:p>
            <w:r>
              <w:t>Researcher Entities</w:t>
            </w:r>
          </w:p>
        </w:tc>
        <w:tc>
          <w:tcPr>
            <w:tcW w:type="dxa" w:w="4968"/>
            <w:vAlign w:val="top"/>
          </w:tcPr>
          <w:p>
            <w:r>
              <w:t>651,091 (46.4%)</w:t>
            </w:r>
          </w:p>
        </w:tc>
      </w:tr>
      <w:tr>
        <w:tc>
          <w:tcPr>
            <w:tcW w:type="dxa" w:w="4968"/>
            <w:vAlign w:val="top"/>
          </w:tcPr>
          <w:p>
            <w:r>
              <w:t>Co-occurrence Edges</w:t>
            </w:r>
          </w:p>
        </w:tc>
        <w:tc>
          <w:tcPr>
            <w:tcW w:type="dxa" w:w="4968"/>
            <w:vAlign w:val="top"/>
          </w:tcPr>
          <w:p>
            <w:r>
              <w:t>6,342,891 (72.8%)</w:t>
            </w:r>
          </w:p>
        </w:tc>
      </w:tr>
      <w:tr>
        <w:tc>
          <w:tcPr>
            <w:tcW w:type="dxa" w:w="4968"/>
            <w:vAlign w:val="top"/>
          </w:tcPr>
          <w:p>
            <w:r>
              <w:t>Citation Edges</w:t>
            </w:r>
          </w:p>
        </w:tc>
        <w:tc>
          <w:tcPr>
            <w:tcW w:type="dxa" w:w="4968"/>
            <w:vAlign w:val="top"/>
          </w:tcPr>
          <w:p>
            <w:r>
              <w:t>1,891,205 (21.7%)</w:t>
            </w:r>
          </w:p>
        </w:tc>
      </w:tr>
      <w:tr>
        <w:tc>
          <w:tcPr>
            <w:tcW w:type="dxa" w:w="4968"/>
            <w:vAlign w:val="top"/>
          </w:tcPr>
          <w:p>
            <w:r>
              <w:t>Authorship Edges</w:t>
            </w:r>
          </w:p>
        </w:tc>
        <w:tc>
          <w:tcPr>
            <w:tcW w:type="dxa" w:w="4968"/>
            <w:vAlign w:val="top"/>
          </w:tcPr>
          <w:p>
            <w:r>
              <w:t>487,467 (5.6%)</w:t>
            </w:r>
          </w:p>
        </w:tc>
      </w:tr>
      <w:tr>
        <w:tc>
          <w:tcPr>
            <w:tcW w:type="dxa" w:w="4968"/>
            <w:vAlign w:val="top"/>
          </w:tcPr>
          <w:p>
            <w:r>
              <w:t>Average Node Degree</w:t>
            </w:r>
          </w:p>
        </w:tc>
        <w:tc>
          <w:tcPr>
            <w:tcW w:type="dxa" w:w="4968"/>
            <w:vAlign w:val="top"/>
          </w:tcPr>
          <w:p>
            <w:r>
              <w:t>12.4</w:t>
            </w:r>
          </w:p>
        </w:tc>
      </w:tr>
      <w:tr>
        <w:tc>
          <w:tcPr>
            <w:tcW w:type="dxa" w:w="4968"/>
            <w:vAlign w:val="top"/>
          </w:tcPr>
          <w:p>
            <w:r>
              <w:t>Graph Density</w:t>
            </w:r>
          </w:p>
        </w:tc>
        <w:tc>
          <w:tcPr>
            <w:tcW w:type="dxa" w:w="4968"/>
            <w:vAlign w:val="top"/>
          </w:tcPr>
          <w:p>
            <w:r>
              <w:t>0.0088</w:t>
            </w:r>
          </w:p>
        </w:tc>
      </w:tr>
      <w:tr>
        <w:tc>
          <w:tcPr>
            <w:tcW w:type="dxa" w:w="4968"/>
            <w:vAlign w:val="top"/>
          </w:tcPr>
          <w:p>
            <w:r>
              <w:t>Entities per Paper</w:t>
            </w:r>
          </w:p>
        </w:tc>
        <w:tc>
          <w:tcPr>
            <w:tcW w:type="dxa" w:w="4968"/>
            <w:vAlign w:val="top"/>
          </w:tcPr>
          <w:p>
            <w:r>
              <w:t>18.7 (median: 16)</w:t>
            </w:r>
          </w:p>
        </w:tc>
      </w:tr>
    </w:tbl>
    <w:p>
      <w:pPr>
        <w:pStyle w:val="Heading1"/>
      </w:pPr>
      <w:r>
        <w:t>9. Hybrid Retrieval Engine</w:t>
      </w:r>
    </w:p>
    <w:p>
      <w:pPr>
        <w:pStyle w:val="NoSpacing"/>
      </w:pPr>
      <w:r>
        <w:rPr>
          <w:rFonts w:ascii="Consolas" w:hAnsi="Consolas" w:eastAsia="Consolas"/>
          <w:sz w:val="18"/>
        </w:rPr>
        <w:t>Query</w:t>
        <w:br/>
        <w:t xml:space="preserve"> ├── Dense Retrieval: all-MiniLM-L6-v2 → FAISS top-50</w:t>
        <w:br/>
        <w:t xml:space="preserve"> ├── Sparse Retrieval: BM25 top-50</w:t>
        <w:br/>
        <w:t xml:space="preserve"> └── KG Augmentation: two-hop traversal</w:t>
        <w:br/>
        <w:t xml:space="preserve">             ↓</w:t>
        <w:br/>
        <w:t xml:space="preserve">        Reciprocal Rank Fusion</w:t>
        <w:br/>
        <w:t xml:space="preserve">             ↓</w:t>
        <w:br/>
        <w:t xml:space="preserve">       Top-10 fused candidates</w:t>
        <w:br/>
        <w:t xml:space="preserve">             ↓</w:t>
        <w:br/>
        <w:t xml:space="preserve"> Cross-encoder re-ranking</w:t>
        <w:br/>
        <w:t xml:space="preserve">             ↓</w:t>
        <w:br/>
        <w:t xml:space="preserve">        Context pool</w:t>
      </w:r>
    </w:p>
    <w:p>
      <w:pPr>
        <w:pStyle w:val="ListBullet"/>
      </w:pPr>
      <w:r>
        <w:t>Dense retrieval: all-MiniLM-L6-v2; FAISS IVF4096, PQ64; top-K1 = 50; cosine similarity.</w:t>
      </w:r>
    </w:p>
    <w:p>
      <w:pPr>
        <w:pStyle w:val="ListBullet"/>
      </w:pPr>
      <w:r>
        <w:t>Sparse retrieval: BM25 with k1 = 1.5 and b = 0.75; top-K2 = 50.</w:t>
      </w:r>
    </w:p>
    <w:p>
      <w:pPr>
        <w:pStyle w:val="ListBullet"/>
      </w:pPr>
      <w:r>
        <w:t>RRF: RRF(di) = Σ 1/(60 + rankr(di)).</w:t>
      </w:r>
    </w:p>
    <w:p>
      <w:pPr>
        <w:pStyle w:val="ListBullet"/>
      </w:pPr>
      <w:r>
        <w:t>Top-K = 10 fused candidates are passed to ms-marco-MiniLM-L-6-v2 cross-encoder reranking.</w:t>
      </w:r>
    </w:p>
    <w:p>
      <w:pPr>
        <w:pStyle w:val="ListBullet"/>
      </w:pPr>
      <w:r>
        <w:t>KG augmentation links query entities to AKG nodes and performs two-hop traversal.</w:t>
      </w:r>
    </w:p>
    <w:p>
      <w:pPr>
        <w:pStyle w:val="ListBullet"/>
      </w:pPr>
      <w:r>
        <w:t>New associated passages are added when the cross-encoder score exceeds θKG = 0.35.</w:t>
      </w:r>
    </w:p>
    <w:p>
      <w:pPr>
        <w:pStyle w:val="Heading1"/>
      </w:pPr>
      <w:r>
        <w:t>10. Multi-Agent Orchestration</w:t>
      </w:r>
    </w:p>
    <w:p>
      <w:pPr>
        <w:pStyle w:val="ListNumber"/>
      </w:pPr>
      <w:r>
        <w:t>Query Decomposition Agent (QDA): decomposes the user query into M ≤ 5 subqueries.</w:t>
      </w:r>
    </w:p>
    <w:p>
      <w:pPr>
        <w:pStyle w:val="ListNumber"/>
      </w:pPr>
      <w:r>
        <w:t>Literature Synthesis Agent (LSA): performs hierarchical map-reduce summarisation.</w:t>
      </w:r>
    </w:p>
    <w:p>
      <w:pPr>
        <w:pStyle w:val="ListNumber"/>
      </w:pPr>
      <w:r>
        <w:t>Gap Detection Agent (GDA): invokes GNN-RGS.</w:t>
      </w:r>
    </w:p>
    <w:p>
      <w:pPr>
        <w:pStyle w:val="ListNumber"/>
      </w:pPr>
      <w:r>
        <w:t>Citation Verification Agent (CVA): runs the CSCG loop.</w:t>
      </w:r>
    </w:p>
    <w:p>
      <w:pPr>
        <w:pStyle w:val="NoSpacing"/>
      </w:pPr>
      <w:r>
        <w:rPr>
          <w:rFonts w:ascii="Consolas" w:hAnsi="Consolas" w:eastAsia="Consolas"/>
          <w:sz w:val="18"/>
        </w:rPr>
        <w:t>QDA</w:t>
        <w:br/>
        <w:t xml:space="preserve"> ↓</w:t>
        <w:br/>
        <w:t>LSA</w:t>
        <w:br/>
        <w:t xml:space="preserve"> ↓</w:t>
        <w:br/>
        <w:t>GDA</w:t>
        <w:br/>
        <w:t xml:space="preserve"> ↓</w:t>
        <w:br/>
        <w:t>CVA</w:t>
        <w:br/>
        <w:t xml:space="preserve"> ↺ targeted re-retrieval for unsupported claims</w:t>
      </w:r>
    </w:p>
    <w:p>
      <w:pPr>
        <w:pStyle w:val="Heading1"/>
      </w:pPr>
      <w:r>
        <w:t>11. GNN-Based Research Gap Scoring (GNN-RGS)</w:t>
      </w:r>
    </w:p>
    <w:p>
      <w:pPr>
        <w:pStyle w:val="ListBullet"/>
      </w:pPr>
      <w:r>
        <w:t>Graph Attention Network with 2 layers, 8 attention heads, hidden dimension 128.</w:t>
      </w:r>
    </w:p>
    <w:p>
      <w:pPr>
        <w:pStyle w:val="ListBullet"/>
      </w:pPr>
      <w:r>
        <w:t>Trained on 1,200 manually annotated concept clusters.</w:t>
      </w:r>
    </w:p>
    <w:p>
      <w:pPr>
        <w:pStyle w:val="ListBullet"/>
      </w:pPr>
      <w:r>
        <w:t>Predicts knowledge density ρ̂ ∈ [0,1].</w:t>
      </w:r>
    </w:p>
    <w:p>
      <w:pPr>
        <w:pStyle w:val="ListBullet"/>
      </w:pPr>
      <w:r>
        <w:t>The conversation described high density as many well-connected studies and lower density as potentially sparse research.</w:t>
      </w:r>
    </w:p>
    <w:p>
      <w:pPr>
        <w:pStyle w:val="ListBullet"/>
      </w:pPr>
      <w:r>
        <w:t>Composite GapScore integrates learned density, temporal staleness τ, and novelty η.</w:t>
      </w:r>
    </w:p>
    <w:p>
      <w:pPr>
        <w:pStyle w:val="ListBullet"/>
      </w:pPr>
      <w:r>
        <w:t>Parameters: α = 0.45, β = 0.35, γ = 0.20.</w:t>
      </w:r>
    </w:p>
    <w:p>
      <w:pPr>
        <w:pStyle w:val="ListBullet"/>
      </w:pPr>
      <w:r>
        <w:t>Reported Spearman ρ = 0.71 with expert gap rankings versus 0.48 for a heuristic baseline.</w:t>
      </w:r>
    </w:p>
    <w:p>
      <w:r>
        <w:t>GapScore equation as stated in the paper:</w:t>
      </w:r>
    </w:p>
    <w:p>
      <w:pPr>
        <w:pStyle w:val="NoSpacing"/>
      </w:pPr>
      <w:r>
        <w:rPr>
          <w:rFonts w:ascii="Consolas" w:hAnsi="Consolas" w:eastAsia="Consolas"/>
          <w:sz w:val="18"/>
        </w:rPr>
        <w:t>GapScore(cj) = α(1 − ρ̂j) + βτj + γηj,    α = 0.45, β = 0.35, γ = 0.20</w:t>
      </w:r>
    </w:p>
    <w:p>
      <w:pPr>
        <w:pStyle w:val="Heading1"/>
      </w:pPr>
      <w:r>
        <w:t>12. Citation-Aware Self-Correcting Generation (CSCG)</w:t>
      </w:r>
    </w:p>
    <w:p>
      <w:pPr>
        <w:pStyle w:val="ListBullet"/>
      </w:pPr>
      <w:r>
        <w:t>The system re-issues targeted retrieval queries for unsupported claims.</w:t>
      </w:r>
    </w:p>
    <w:p>
      <w:pPr>
        <w:pStyle w:val="ListBullet"/>
      </w:pPr>
      <w:r>
        <w:t>Maximum Tmax = 3 iterations.</w:t>
      </w:r>
    </w:p>
    <w:p>
      <w:pPr>
        <w:pStyle w:val="ListBullet"/>
      </w:pPr>
      <w:r>
        <w:t>Unresolved claims receive an [UNCERTAIN] hedge.</w:t>
      </w:r>
    </w:p>
    <w:p>
      <w:pPr>
        <w:pStyle w:val="ListBullet"/>
      </w:pPr>
      <w:r>
        <w:t>The conversation explicitly distinguished this mechanism from dedicated research-gap validation: CSCG checks whether generated claims are supported by retrieved passages; it does not specifically establish whether the research gap itself is genuine.</w:t>
      </w:r>
    </w:p>
    <w:p>
      <w:pPr>
        <w:pStyle w:val="Heading1"/>
      </w:pPr>
      <w:r>
        <w:t>13.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ResearchRAG result</w:t>
            </w:r>
          </w:p>
        </w:tc>
      </w:tr>
      <w:tr>
        <w:tc>
          <w:tcPr>
            <w:tcW w:type="dxa" w:w="4968"/>
            <w:vAlign w:val="top"/>
          </w:tcPr>
          <w:p>
            <w:r>
              <w:t>TREC-COVID P@5</w:t>
            </w:r>
          </w:p>
        </w:tc>
        <w:tc>
          <w:tcPr>
            <w:tcW w:type="dxa" w:w="4968"/>
            <w:vAlign w:val="top"/>
          </w:tcPr>
          <w:p>
            <w:r>
              <w:t>0.793</w:t>
            </w:r>
          </w:p>
        </w:tc>
      </w:tr>
      <w:tr>
        <w:tc>
          <w:tcPr>
            <w:tcW w:type="dxa" w:w="4968"/>
            <w:vAlign w:val="top"/>
          </w:tcPr>
          <w:p>
            <w:r>
              <w:t>TREC-COVID P@10</w:t>
            </w:r>
          </w:p>
        </w:tc>
        <w:tc>
          <w:tcPr>
            <w:tcW w:type="dxa" w:w="4968"/>
            <w:vAlign w:val="top"/>
          </w:tcPr>
          <w:p>
            <w:r>
              <w:t>0.831</w:t>
            </w:r>
          </w:p>
        </w:tc>
      </w:tr>
      <w:tr>
        <w:tc>
          <w:tcPr>
            <w:tcW w:type="dxa" w:w="4968"/>
            <w:vAlign w:val="top"/>
          </w:tcPr>
          <w:p>
            <w:r>
              <w:t>TREC-COVID R@10</w:t>
            </w:r>
          </w:p>
        </w:tc>
        <w:tc>
          <w:tcPr>
            <w:tcW w:type="dxa" w:w="4968"/>
            <w:vAlign w:val="top"/>
          </w:tcPr>
          <w:p>
            <w:r>
              <w:t>0.709</w:t>
            </w:r>
          </w:p>
        </w:tc>
      </w:tr>
      <w:tr>
        <w:tc>
          <w:tcPr>
            <w:tcW w:type="dxa" w:w="4968"/>
            <w:vAlign w:val="top"/>
          </w:tcPr>
          <w:p>
            <w:r>
              <w:t>TREC-COVID R@20</w:t>
            </w:r>
          </w:p>
        </w:tc>
        <w:tc>
          <w:tcPr>
            <w:tcW w:type="dxa" w:w="4968"/>
            <w:vAlign w:val="top"/>
          </w:tcPr>
          <w:p>
            <w:r>
              <w:t>0.812</w:t>
            </w:r>
          </w:p>
        </w:tc>
      </w:tr>
      <w:tr>
        <w:tc>
          <w:tcPr>
            <w:tcW w:type="dxa" w:w="4968"/>
            <w:vAlign w:val="top"/>
          </w:tcPr>
          <w:p>
            <w:r>
              <w:t>TREC-COVID MRR</w:t>
            </w:r>
          </w:p>
        </w:tc>
        <w:tc>
          <w:tcPr>
            <w:tcW w:type="dxa" w:w="4968"/>
            <w:vAlign w:val="top"/>
          </w:tcPr>
          <w:p>
            <w:r>
              <w:t>0.774</w:t>
            </w:r>
          </w:p>
        </w:tc>
      </w:tr>
      <w:tr>
        <w:tc>
          <w:tcPr>
            <w:tcW w:type="dxa" w:w="4968"/>
            <w:vAlign w:val="top"/>
          </w:tcPr>
          <w:p>
            <w:r>
              <w:t>TREC-COVID NDCG@10</w:t>
            </w:r>
          </w:p>
        </w:tc>
        <w:tc>
          <w:tcPr>
            <w:tcW w:type="dxa" w:w="4968"/>
            <w:vAlign w:val="top"/>
          </w:tcPr>
          <w:p>
            <w:r>
              <w:t>0.748</w:t>
            </w:r>
          </w:p>
        </w:tc>
      </w:tr>
      <w:tr>
        <w:tc>
          <w:tcPr>
            <w:tcW w:type="dxa" w:w="4968"/>
            <w:vAlign w:val="top"/>
          </w:tcPr>
          <w:p>
            <w:r>
              <w:t>SCIDOCS BERTScore F1</w:t>
            </w:r>
          </w:p>
        </w:tc>
        <w:tc>
          <w:tcPr>
            <w:tcW w:type="dxa" w:w="4968"/>
            <w:vAlign w:val="top"/>
          </w:tcPr>
          <w:p>
            <w:r>
              <w:t>0.871</w:t>
            </w:r>
          </w:p>
        </w:tc>
      </w:tr>
      <w:tr>
        <w:tc>
          <w:tcPr>
            <w:tcW w:type="dxa" w:w="4968"/>
            <w:vAlign w:val="top"/>
          </w:tcPr>
          <w:p>
            <w:r>
              <w:t>SCIDOCS hallucination rate</w:t>
            </w:r>
          </w:p>
        </w:tc>
        <w:tc>
          <w:tcPr>
            <w:tcW w:type="dxa" w:w="4968"/>
            <w:vAlign w:val="top"/>
          </w:tcPr>
          <w:p>
            <w:r>
              <w:t>0.078</w:t>
            </w:r>
          </w:p>
        </w:tc>
      </w:tr>
      <w:tr>
        <w:tc>
          <w:tcPr>
            <w:tcW w:type="dxa" w:w="4968"/>
            <w:vAlign w:val="top"/>
          </w:tcPr>
          <w:p>
            <w:r>
              <w:t>Relative hallucination reduction vs Standard RAG</w:t>
            </w:r>
          </w:p>
        </w:tc>
        <w:tc>
          <w:tcPr>
            <w:tcW w:type="dxa" w:w="4968"/>
            <w:vAlign w:val="top"/>
          </w:tcPr>
          <w:p>
            <w:r>
              <w:t>58.3%</w:t>
            </w:r>
          </w:p>
        </w:tc>
      </w:tr>
      <w:tr>
        <w:tc>
          <w:tcPr>
            <w:tcW w:type="dxa" w:w="4968"/>
            <w:vAlign w:val="top"/>
          </w:tcPr>
          <w:p>
            <w:r>
              <w:t>Gap Spearman ρ</w:t>
            </w:r>
          </w:p>
        </w:tc>
        <w:tc>
          <w:tcPr>
            <w:tcW w:type="dxa" w:w="4968"/>
            <w:vAlign w:val="top"/>
          </w:tcPr>
          <w:p>
            <w:r>
              <w:t>0.71 vs 0.48 heuristic</w:t>
            </w:r>
          </w:p>
        </w:tc>
      </w:tr>
    </w:tbl>
    <w:p>
      <w:pPr>
        <w:pStyle w:val="Heading1"/>
      </w:pPr>
      <w:r>
        <w:t>14. Generation Quality and Gap Detection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System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Relevance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Specificity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Novelty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Composite</w:t>
            </w:r>
          </w:p>
        </w:tc>
      </w:tr>
      <w:tr>
        <w:tc>
          <w:tcPr>
            <w:tcW w:type="dxa" w:w="1987"/>
            <w:vAlign w:val="top"/>
          </w:tcPr>
          <w:p>
            <w:r>
              <w:t>Standard RAG</w:t>
            </w:r>
          </w:p>
        </w:tc>
        <w:tc>
          <w:tcPr>
            <w:tcW w:type="dxa" w:w="1987"/>
            <w:vAlign w:val="top"/>
          </w:tcPr>
          <w:p>
            <w:r>
              <w:t>2.87</w:t>
            </w:r>
          </w:p>
        </w:tc>
        <w:tc>
          <w:tcPr>
            <w:tcW w:type="dxa" w:w="1987"/>
            <w:vAlign w:val="top"/>
          </w:tcPr>
          <w:p>
            <w:r>
              <w:t>2.41</w:t>
            </w:r>
          </w:p>
        </w:tc>
        <w:tc>
          <w:tcPr>
            <w:tcW w:type="dxa" w:w="1987"/>
            <w:vAlign w:val="top"/>
          </w:tcPr>
          <w:p>
            <w:r>
              <w:t>2.63</w:t>
            </w:r>
          </w:p>
        </w:tc>
        <w:tc>
          <w:tcPr>
            <w:tcW w:type="dxa" w:w="1987"/>
            <w:vAlign w:val="top"/>
          </w:tcPr>
          <w:p>
            <w:r>
              <w:t>2.64</w:t>
            </w:r>
          </w:p>
        </w:tc>
      </w:tr>
      <w:tr>
        <w:tc>
          <w:tcPr>
            <w:tcW w:type="dxa" w:w="1987"/>
            <w:vAlign w:val="top"/>
          </w:tcPr>
          <w:p>
            <w:r>
              <w:t>Agentic RAG</w:t>
            </w:r>
          </w:p>
        </w:tc>
        <w:tc>
          <w:tcPr>
            <w:tcW w:type="dxa" w:w="1987"/>
            <w:vAlign w:val="top"/>
          </w:tcPr>
          <w:p>
            <w:r>
              <w:t>3.54</w:t>
            </w:r>
          </w:p>
        </w:tc>
        <w:tc>
          <w:tcPr>
            <w:tcW w:type="dxa" w:w="1987"/>
            <w:vAlign w:val="top"/>
          </w:tcPr>
          <w:p>
            <w:r>
              <w:t>3.02</w:t>
            </w:r>
          </w:p>
        </w:tc>
        <w:tc>
          <w:tcPr>
            <w:tcW w:type="dxa" w:w="1987"/>
            <w:vAlign w:val="top"/>
          </w:tcPr>
          <w:p>
            <w:r>
              <w:t>3.41</w:t>
            </w:r>
          </w:p>
        </w:tc>
        <w:tc>
          <w:tcPr>
            <w:tcW w:type="dxa" w:w="1987"/>
            <w:vAlign w:val="top"/>
          </w:tcPr>
          <w:p>
            <w:r>
              <w:t>3.32</w:t>
            </w:r>
          </w:p>
        </w:tc>
      </w:tr>
      <w:tr>
        <w:tc>
          <w:tcPr>
            <w:tcW w:type="dxa" w:w="1987"/>
            <w:vAlign w:val="top"/>
          </w:tcPr>
          <w:p>
            <w:r>
              <w:t>GraphRAG</w:t>
            </w:r>
          </w:p>
        </w:tc>
        <w:tc>
          <w:tcPr>
            <w:tcW w:type="dxa" w:w="1987"/>
            <w:vAlign w:val="top"/>
          </w:tcPr>
          <w:p>
            <w:r>
              <w:t>3.71</w:t>
            </w:r>
          </w:p>
        </w:tc>
        <w:tc>
          <w:tcPr>
            <w:tcW w:type="dxa" w:w="1987"/>
            <w:vAlign w:val="top"/>
          </w:tcPr>
          <w:p>
            <w:r>
              <w:t>2.81</w:t>
            </w:r>
          </w:p>
        </w:tc>
        <w:tc>
          <w:tcPr>
            <w:tcW w:type="dxa" w:w="1987"/>
            <w:vAlign w:val="top"/>
          </w:tcPr>
          <w:p>
            <w:r>
              <w:t>3.28</w:t>
            </w:r>
          </w:p>
        </w:tc>
        <w:tc>
          <w:tcPr>
            <w:tcW w:type="dxa" w:w="1987"/>
            <w:vAlign w:val="top"/>
          </w:tcPr>
          <w:p>
            <w:r>
              <w:t>3.27</w:t>
            </w:r>
          </w:p>
        </w:tc>
      </w:tr>
      <w:tr>
        <w:tc>
          <w:tcPr>
            <w:tcW w:type="dxa" w:w="1987"/>
            <w:vAlign w:val="top"/>
          </w:tcPr>
          <w:p>
            <w:r>
              <w:t>AutoSurvey</w:t>
            </w:r>
          </w:p>
        </w:tc>
        <w:tc>
          <w:tcPr>
            <w:tcW w:type="dxa" w:w="1987"/>
            <w:vAlign w:val="top"/>
          </w:tcPr>
          <w:p>
            <w:r>
              <w:t>3.18</w:t>
            </w:r>
          </w:p>
        </w:tc>
        <w:tc>
          <w:tcPr>
            <w:tcW w:type="dxa" w:w="1987"/>
            <w:vAlign w:val="top"/>
          </w:tcPr>
          <w:p>
            <w:r>
              <w:t>2.78</w:t>
            </w:r>
          </w:p>
        </w:tc>
        <w:tc>
          <w:tcPr>
            <w:tcW w:type="dxa" w:w="1987"/>
            <w:vAlign w:val="top"/>
          </w:tcPr>
          <w:p>
            <w:r>
              <w:t>2.94</w:t>
            </w:r>
          </w:p>
        </w:tc>
        <w:tc>
          <w:tcPr>
            <w:tcW w:type="dxa" w:w="1987"/>
            <w:vAlign w:val="top"/>
          </w:tcPr>
          <w:p>
            <w:r>
              <w:t>2.97</w:t>
            </w:r>
          </w:p>
        </w:tc>
      </w:tr>
      <w:tr>
        <w:tc>
          <w:tcPr>
            <w:tcW w:type="dxa" w:w="1987"/>
            <w:vAlign w:val="top"/>
          </w:tcPr>
          <w:p>
            <w:r>
              <w:t>ResearchRAG</w:t>
            </w:r>
          </w:p>
        </w:tc>
        <w:tc>
          <w:tcPr>
            <w:tcW w:type="dxa" w:w="1987"/>
            <w:vAlign w:val="top"/>
          </w:tcPr>
          <w:p>
            <w:r>
              <w:t>4.21*</w:t>
            </w:r>
          </w:p>
        </w:tc>
        <w:tc>
          <w:tcPr>
            <w:tcW w:type="dxa" w:w="1987"/>
            <w:vAlign w:val="top"/>
          </w:tcPr>
          <w:p>
            <w:r>
              <w:t>3.98*</w:t>
            </w:r>
          </w:p>
        </w:tc>
        <w:tc>
          <w:tcPr>
            <w:tcW w:type="dxa" w:w="1987"/>
            <w:vAlign w:val="top"/>
          </w:tcPr>
          <w:p>
            <w:r>
              <w:t>3.94*</w:t>
            </w:r>
          </w:p>
        </w:tc>
        <w:tc>
          <w:tcPr>
            <w:tcW w:type="dxa" w:w="1987"/>
            <w:vAlign w:val="top"/>
          </w:tcPr>
          <w:p>
            <w:r>
              <w:t>4.04*</w:t>
            </w:r>
          </w:p>
        </w:tc>
      </w:tr>
    </w:tbl>
    <w:p>
      <w:r>
        <w:t>The paper reports expert Likert ratings on 250 custom gap queries and marks the ResearchRAG values with p &lt; 0.01.</w:t>
      </w:r>
    </w:p>
    <w:p>
      <w:pPr>
        <w:pStyle w:val="Heading1"/>
      </w:pPr>
      <w:r>
        <w:t>15. Ablation Study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Configuration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P@10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BERTScore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Hallu.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Gap</w:t>
            </w:r>
          </w:p>
        </w:tc>
      </w:tr>
      <w:tr>
        <w:tc>
          <w:tcPr>
            <w:tcW w:type="dxa" w:w="1987"/>
            <w:vAlign w:val="top"/>
          </w:tcPr>
          <w:p>
            <w:r>
              <w:t>Dense-only + 1-Agent</w:t>
            </w:r>
          </w:p>
        </w:tc>
        <w:tc>
          <w:tcPr>
            <w:tcW w:type="dxa" w:w="1987"/>
            <w:vAlign w:val="top"/>
          </w:tcPr>
          <w:p>
            <w:r>
              <w:t>0.612</w:t>
            </w:r>
          </w:p>
        </w:tc>
        <w:tc>
          <w:tcPr>
            <w:tcW w:type="dxa" w:w="1987"/>
            <w:vAlign w:val="top"/>
          </w:tcPr>
          <w:p>
            <w:r>
              <w:t>0.821</w:t>
            </w:r>
          </w:p>
        </w:tc>
        <w:tc>
          <w:tcPr>
            <w:tcW w:type="dxa" w:w="1987"/>
            <w:vAlign w:val="top"/>
          </w:tcPr>
          <w:p>
            <w:r>
              <w:t>0.169</w:t>
            </w:r>
          </w:p>
        </w:tc>
        <w:tc>
          <w:tcPr>
            <w:tcW w:type="dxa" w:w="1987"/>
            <w:vAlign w:val="top"/>
          </w:tcPr>
          <w:p>
            <w:r>
              <w:t>2.38</w:t>
            </w:r>
          </w:p>
        </w:tc>
      </w:tr>
      <w:tr>
        <w:tc>
          <w:tcPr>
            <w:tcW w:type="dxa" w:w="1987"/>
            <w:vAlign w:val="top"/>
          </w:tcPr>
          <w:p>
            <w:r>
              <w:t>BM25-only + 1-Agent</w:t>
            </w:r>
          </w:p>
        </w:tc>
        <w:tc>
          <w:tcPr>
            <w:tcW w:type="dxa" w:w="1987"/>
            <w:vAlign w:val="top"/>
          </w:tcPr>
          <w:p>
            <w:r>
              <w:t>0.574</w:t>
            </w:r>
          </w:p>
        </w:tc>
        <w:tc>
          <w:tcPr>
            <w:tcW w:type="dxa" w:w="1987"/>
            <w:vAlign w:val="top"/>
          </w:tcPr>
          <w:p>
            <w:r>
              <w:t>0.797</w:t>
            </w:r>
          </w:p>
        </w:tc>
        <w:tc>
          <w:tcPr>
            <w:tcW w:type="dxa" w:w="1987"/>
            <w:vAlign w:val="top"/>
          </w:tcPr>
          <w:p>
            <w:r>
              <w:t>0.198</w:t>
            </w:r>
          </w:p>
        </w:tc>
        <w:tc>
          <w:tcPr>
            <w:tcW w:type="dxa" w:w="1987"/>
            <w:vAlign w:val="top"/>
          </w:tcPr>
          <w:p>
            <w:r>
              <w:t>2.14</w:t>
            </w:r>
          </w:p>
        </w:tc>
      </w:tr>
      <w:tr>
        <w:tc>
          <w:tcPr>
            <w:tcW w:type="dxa" w:w="1987"/>
            <w:vAlign w:val="top"/>
          </w:tcPr>
          <w:p>
            <w:r>
              <w:t>Hybrid (no KG) + 1-Agent</w:t>
            </w:r>
          </w:p>
        </w:tc>
        <w:tc>
          <w:tcPr>
            <w:tcW w:type="dxa" w:w="1987"/>
            <w:vAlign w:val="top"/>
          </w:tcPr>
          <w:p>
            <w:r>
              <w:t>0.718</w:t>
            </w:r>
          </w:p>
        </w:tc>
        <w:tc>
          <w:tcPr>
            <w:tcW w:type="dxa" w:w="1987"/>
            <w:vAlign w:val="top"/>
          </w:tcPr>
          <w:p>
            <w:r>
              <w:t>0.843</w:t>
            </w:r>
          </w:p>
        </w:tc>
        <w:tc>
          <w:tcPr>
            <w:tcW w:type="dxa" w:w="1987"/>
            <w:vAlign w:val="top"/>
          </w:tcPr>
          <w:p>
            <w:r>
              <w:t>0.138</w:t>
            </w:r>
          </w:p>
        </w:tc>
        <w:tc>
          <w:tcPr>
            <w:tcW w:type="dxa" w:w="1987"/>
            <w:vAlign w:val="top"/>
          </w:tcPr>
          <w:p>
            <w:r>
              <w:t>2.79</w:t>
            </w:r>
          </w:p>
        </w:tc>
      </w:tr>
      <w:tr>
        <w:tc>
          <w:tcPr>
            <w:tcW w:type="dxa" w:w="1987"/>
            <w:vAlign w:val="top"/>
          </w:tcPr>
          <w:p>
            <w:r>
              <w:t>Hybrid+KG (no GNN)+MA</w:t>
            </w:r>
          </w:p>
        </w:tc>
        <w:tc>
          <w:tcPr>
            <w:tcW w:type="dxa" w:w="1987"/>
            <w:vAlign w:val="top"/>
          </w:tcPr>
          <w:p>
            <w:r>
              <w:t>0.773</w:t>
            </w:r>
          </w:p>
        </w:tc>
        <w:tc>
          <w:tcPr>
            <w:tcW w:type="dxa" w:w="1987"/>
            <w:vAlign w:val="top"/>
          </w:tcPr>
          <w:p>
            <w:r>
              <w:t>0.856</w:t>
            </w:r>
          </w:p>
        </w:tc>
        <w:tc>
          <w:tcPr>
            <w:tcW w:type="dxa" w:w="1987"/>
            <w:vAlign w:val="top"/>
          </w:tcPr>
          <w:p>
            <w:r>
              <w:t>0.112</w:t>
            </w:r>
          </w:p>
        </w:tc>
        <w:tc>
          <w:tcPr>
            <w:tcW w:type="dxa" w:w="1987"/>
            <w:vAlign w:val="top"/>
          </w:tcPr>
          <w:p>
            <w:r>
              <w:t>3.41</w:t>
            </w:r>
          </w:p>
        </w:tc>
      </w:tr>
      <w:tr>
        <w:tc>
          <w:tcPr>
            <w:tcW w:type="dxa" w:w="1987"/>
            <w:vAlign w:val="top"/>
          </w:tcPr>
          <w:p>
            <w:r>
              <w:t>Hybrid+KG+GNN (no CSCG)</w:t>
            </w:r>
          </w:p>
        </w:tc>
        <w:tc>
          <w:tcPr>
            <w:tcW w:type="dxa" w:w="1987"/>
            <w:vAlign w:val="top"/>
          </w:tcPr>
          <w:p>
            <w:r>
              <w:t>0.801</w:t>
            </w:r>
          </w:p>
        </w:tc>
        <w:tc>
          <w:tcPr>
            <w:tcW w:type="dxa" w:w="1987"/>
            <w:vAlign w:val="top"/>
          </w:tcPr>
          <w:p>
            <w:r>
              <w:t>0.848</w:t>
            </w:r>
          </w:p>
        </w:tc>
        <w:tc>
          <w:tcPr>
            <w:tcW w:type="dxa" w:w="1987"/>
            <w:vAlign w:val="top"/>
          </w:tcPr>
          <w:p>
            <w:r>
              <w:t>0.134</w:t>
            </w:r>
          </w:p>
        </w:tc>
        <w:tc>
          <w:tcPr>
            <w:tcW w:type="dxa" w:w="1987"/>
            <w:vAlign w:val="top"/>
          </w:tcPr>
          <w:p>
            <w:r>
              <w:t>3.89</w:t>
            </w:r>
          </w:p>
        </w:tc>
      </w:tr>
      <w:tr>
        <w:tc>
          <w:tcPr>
            <w:tcW w:type="dxa" w:w="1987"/>
            <w:vAlign w:val="top"/>
          </w:tcPr>
          <w:p>
            <w:r>
              <w:t>Hybrid+KG+CSCG (no GNN)</w:t>
            </w:r>
          </w:p>
        </w:tc>
        <w:tc>
          <w:tcPr>
            <w:tcW w:type="dxa" w:w="1987"/>
            <w:vAlign w:val="top"/>
          </w:tcPr>
          <w:p>
            <w:r>
              <w:t>0.818</w:t>
            </w:r>
          </w:p>
        </w:tc>
        <w:tc>
          <w:tcPr>
            <w:tcW w:type="dxa" w:w="1987"/>
            <w:vAlign w:val="top"/>
          </w:tcPr>
          <w:p>
            <w:r>
              <w:t>0.867</w:t>
            </w:r>
          </w:p>
        </w:tc>
        <w:tc>
          <w:tcPr>
            <w:tcW w:type="dxa" w:w="1987"/>
            <w:vAlign w:val="top"/>
          </w:tcPr>
          <w:p>
            <w:r>
              <w:t>0.081</w:t>
            </w:r>
          </w:p>
        </w:tc>
        <w:tc>
          <w:tcPr>
            <w:tcW w:type="dxa" w:w="1987"/>
            <w:vAlign w:val="top"/>
          </w:tcPr>
          <w:p>
            <w:r>
              <w:t>—</w:t>
            </w:r>
          </w:p>
        </w:tc>
      </w:tr>
      <w:tr>
        <w:tc>
          <w:tcPr>
            <w:tcW w:type="dxa" w:w="1987"/>
            <w:vAlign w:val="top"/>
          </w:tcPr>
          <w:p>
            <w:r>
              <w:t>Full ResearchRAG</w:t>
            </w:r>
          </w:p>
        </w:tc>
        <w:tc>
          <w:tcPr>
            <w:tcW w:type="dxa" w:w="1987"/>
            <w:vAlign w:val="top"/>
          </w:tcPr>
          <w:p>
            <w:r>
              <w:t>0.831*</w:t>
            </w:r>
          </w:p>
        </w:tc>
        <w:tc>
          <w:tcPr>
            <w:tcW w:type="dxa" w:w="1987"/>
            <w:vAlign w:val="top"/>
          </w:tcPr>
          <w:p>
            <w:r>
              <w:t>0.871*</w:t>
            </w:r>
          </w:p>
        </w:tc>
        <w:tc>
          <w:tcPr>
            <w:tcW w:type="dxa" w:w="1987"/>
            <w:vAlign w:val="top"/>
          </w:tcPr>
          <w:p>
            <w:r>
              <w:t>0.078*</w:t>
            </w:r>
          </w:p>
        </w:tc>
        <w:tc>
          <w:tcPr>
            <w:tcW w:type="dxa" w:w="1987"/>
            <w:vAlign w:val="top"/>
          </w:tcPr>
          <w:p>
            <w:r>
              <w:t>4.04*</w:t>
            </w:r>
          </w:p>
        </w:tc>
      </w:tr>
    </w:tbl>
    <w:p>
      <w:r>
        <w:t>The conversation highlighted that GNN primarily affects gap scoring while CSCG primarily improves grounding/hallucination behavior.</w:t>
      </w:r>
    </w:p>
    <w:p>
      <w:pPr>
        <w:pStyle w:val="Heading1"/>
      </w:pPr>
      <w:r>
        <w:t>16. Error Analysis — Critical for the Research Direction</w:t>
      </w:r>
    </w:p>
    <w:p>
      <w:pPr>
        <w:pStyle w:val="ListBullet"/>
      </w:pPr>
      <w:r>
        <w:t>Vocabulary mismatch: 14/150 queries (9.3%) returned fewer than five relevant passages in the cited category.</w:t>
      </w:r>
    </w:p>
    <w:p>
      <w:pPr>
        <w:pStyle w:val="ListBullet"/>
      </w:pPr>
      <w:r>
        <w:t>The paper attributes 61% of precision failures in the factual query category to degraded representations for recent/out-of-vocabulary terminology from the all-MiniLM-L6-v2 training cutoff.</w:t>
      </w:r>
    </w:p>
    <w:p>
      <w:pPr>
        <w:pStyle w:val="ListBullet"/>
      </w:pPr>
      <w:r>
        <w:t>False-positive KG expansions: 7/150 queries (4.7%) introduced topically adjacent but contextually irrelevant entities.</w:t>
      </w:r>
    </w:p>
    <w:p>
      <w:pPr>
        <w:pStyle w:val="ListBullet"/>
      </w:pPr>
      <w:r>
        <w:t>Of 11,700 generated sentences, 912 (7.8%) were flagged post-CSCG.</w:t>
      </w:r>
    </w:p>
    <w:p>
      <w:pPr>
        <w:pStyle w:val="ListBullet"/>
      </w:pPr>
      <w:r>
        <w:t>Manual inspection of 100 flagged sentences identified temporal extrapolation (41%), author attribution errors (33%), and numerical hallucination (26%).</w:t>
      </w:r>
    </w:p>
    <w:p>
      <w:pPr>
        <w:pStyle w:val="ListBullet"/>
      </w:pPr>
      <w:r>
        <w:t>Spurious gaps: 12/50 gap queries (24%) were judged to reflect corpus incompleteness rather than genuine open problems.</w:t>
      </w:r>
    </w:p>
    <w:p>
      <w:pPr>
        <w:pStyle w:val="ListBullet"/>
      </w:pPr>
      <w:r>
        <w:t>Fields with fewer than 30 indexed papers produced spurious gap statements.</w:t>
      </w:r>
    </w:p>
    <w:p>
      <w:pPr>
        <w:pStyle w:val="ListBullet"/>
      </w:pPr>
      <w:r>
        <w:t>Overly generic statements: 9/50 queries (18%) became high-level generalities when GNN-RGS assigned near-equal density scores across broad topics.</w:t>
      </w:r>
    </w:p>
    <w:p>
      <w:pPr>
        <w:pStyle w:val="ListBullet"/>
      </w:pPr>
      <w:r>
        <w:t>Latency exceeded 20 seconds for 31/150 queries (20.7%), mainly due to multi-hop KG traversal on dense subgraphs.</w:t>
      </w:r>
    </w:p>
    <w:p>
      <w:pPr>
        <w:pStyle w:val="Heading1"/>
      </w:pPr>
      <w:r>
        <w:t>17. System Interface</w:t>
      </w:r>
    </w:p>
    <w:p>
      <w:pPr>
        <w:pStyle w:val="NoSpacing"/>
      </w:pPr>
      <w:r>
        <w:rPr>
          <w:rFonts w:ascii="Consolas" w:hAnsi="Consolas" w:eastAsia="Consolas"/>
          <w:sz w:val="18"/>
        </w:rPr>
        <w:t>Three-panel ResearchRAG interface</w:t>
        <w:br/>
        <w:br/>
        <w:t>┌──────────────────────┬─────────────────────────┬──────────────────────────┐</w:t>
        <w:br/>
        <w:t>│ Query &amp; Retrieval    │ Synthesis &amp; Citation    │ Gap Report               │</w:t>
        <w:br/>
        <w:t>│                      │                         │                          │</w:t>
        <w:br/>
        <w:t>│ Query input          │ Verified synthesis      │ Ranked gap cards         │</w:t>
        <w:br/>
        <w:t>│ Filters              │ Green = verified        │ GapScore breakdown       │</w:t>
        <w:br/>
        <w:t>│ Passage cards        │ Orange = [UNCERTAIN]    │ Evidence passages        │</w:t>
        <w:br/>
        <w:t>│ AKG visualisation    │ Sentence-level source   │ Publication histogram    │</w:t>
        <w:br/>
        <w:t>│                      │ provenance               │ Follow-up query          │</w:t>
        <w:br/>
        <w:t>└──────────────────────┴─────────────────────────┴──────────────────────────┘</w:t>
        <w:br/>
        <w:br/>
        <w:t>Reports export as JSON or PDF.</w:t>
      </w:r>
    </w:p>
    <w:p>
      <w:pPr>
        <w:pStyle w:val="ListBullet"/>
      </w:pPr>
      <w:r>
        <w:t>REST API: FastAPI 0.111.</w:t>
      </w:r>
    </w:p>
    <w:p>
      <w:pPr>
        <w:pStyle w:val="ListBullet"/>
      </w:pPr>
      <w:r>
        <w:t>Web interface: React 18.</w:t>
      </w:r>
    </w:p>
    <w:p>
      <w:pPr>
        <w:pStyle w:val="ListBullet"/>
      </w:pPr>
      <w:r>
        <w:t>Sigma.js visualizes AKG subgraphs.</w:t>
      </w:r>
    </w:p>
    <w:p>
      <w:pPr>
        <w:pStyle w:val="Heading1"/>
      </w:pPr>
      <w:r>
        <w:t>18. Software Stack and Hardware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Technology / specification</w:t>
            </w:r>
          </w:p>
        </w:tc>
      </w:tr>
      <w:tr>
        <w:tc>
          <w:tcPr>
            <w:tcW w:type="dxa" w:w="4968"/>
            <w:vAlign w:val="top"/>
          </w:tcPr>
          <w:p>
            <w:r>
              <w:t>GPU</w:t>
            </w:r>
          </w:p>
        </w:tc>
        <w:tc>
          <w:tcPr>
            <w:tcW w:type="dxa" w:w="4968"/>
            <w:vAlign w:val="top"/>
          </w:tcPr>
          <w:p>
            <w:r>
              <w:t>NVIDIA A100 PCIe 40GB, 1×</w:t>
            </w:r>
          </w:p>
        </w:tc>
      </w:tr>
      <w:tr>
        <w:tc>
          <w:tcPr>
            <w:tcW w:type="dxa" w:w="4968"/>
            <w:vAlign w:val="top"/>
          </w:tcPr>
          <w:p>
            <w:r>
              <w:t>CPU</w:t>
            </w:r>
          </w:p>
        </w:tc>
        <w:tc>
          <w:tcPr>
            <w:tcW w:type="dxa" w:w="4968"/>
            <w:vAlign w:val="top"/>
          </w:tcPr>
          <w:p>
            <w:r>
              <w:t>Intel Xeon Platinum 8490H, 2× (96 cores)</w:t>
            </w:r>
          </w:p>
        </w:tc>
      </w:tr>
      <w:tr>
        <w:tc>
          <w:tcPr>
            <w:tcW w:type="dxa" w:w="4968"/>
            <w:vAlign w:val="top"/>
          </w:tcPr>
          <w:p>
            <w:r>
              <w:t>RAM</w:t>
            </w:r>
          </w:p>
        </w:tc>
        <w:tc>
          <w:tcPr>
            <w:tcW w:type="dxa" w:w="4968"/>
            <w:vAlign w:val="top"/>
          </w:tcPr>
          <w:p>
            <w:r>
              <w:t>RDIMM DDR5 512 GB</w:t>
            </w:r>
          </w:p>
        </w:tc>
      </w:tr>
      <w:tr>
        <w:tc>
          <w:tcPr>
            <w:tcW w:type="dxa" w:w="4968"/>
            <w:vAlign w:val="top"/>
          </w:tcPr>
          <w:p>
            <w:r>
              <w:t>CUDA</w:t>
            </w:r>
          </w:p>
        </w:tc>
        <w:tc>
          <w:tcPr>
            <w:tcW w:type="dxa" w:w="4968"/>
            <w:vAlign w:val="top"/>
          </w:tcPr>
          <w:p>
            <w:r>
              <w:t>12.1; cuDNN 8.9.2</w:t>
            </w:r>
          </w:p>
        </w:tc>
      </w:tr>
      <w:tr>
        <w:tc>
          <w:tcPr>
            <w:tcW w:type="dxa" w:w="4968"/>
            <w:vAlign w:val="top"/>
          </w:tcPr>
          <w:p>
            <w:r>
              <w:t>Storage</w:t>
            </w:r>
          </w:p>
        </w:tc>
        <w:tc>
          <w:tcPr>
            <w:tcW w:type="dxa" w:w="4968"/>
            <w:vAlign w:val="top"/>
          </w:tcPr>
          <w:p>
            <w:r>
              <w:t>NVMe SSD 2 TB</w:t>
            </w:r>
          </w:p>
        </w:tc>
      </w:tr>
      <w:tr>
        <w:tc>
          <w:tcPr>
            <w:tcW w:type="dxa" w:w="4968"/>
            <w:vAlign w:val="top"/>
          </w:tcPr>
          <w:p>
            <w:r>
              <w:t>Orchestration</w:t>
            </w:r>
          </w:p>
        </w:tc>
        <w:tc>
          <w:tcPr>
            <w:tcW w:type="dxa" w:w="4968"/>
            <w:vAlign w:val="top"/>
          </w:tcPr>
          <w:p>
            <w:r>
              <w:t>LangChain 0.2.14</w:t>
            </w:r>
          </w:p>
        </w:tc>
      </w:tr>
      <w:tr>
        <w:tc>
          <w:tcPr>
            <w:tcW w:type="dxa" w:w="4968"/>
            <w:vAlign w:val="top"/>
          </w:tcPr>
          <w:p>
            <w:r>
              <w:t>LLM</w:t>
            </w:r>
          </w:p>
        </w:tc>
        <w:tc>
          <w:tcPr>
            <w:tcW w:type="dxa" w:w="4968"/>
            <w:vAlign w:val="top"/>
          </w:tcPr>
          <w:p>
            <w:r>
              <w:t>Llama 3.1 8B-Instruct Q4_K_M</w:t>
            </w:r>
          </w:p>
        </w:tc>
      </w:tr>
      <w:tr>
        <w:tc>
          <w:tcPr>
            <w:tcW w:type="dxa" w:w="4968"/>
            <w:vAlign w:val="top"/>
          </w:tcPr>
          <w:p>
            <w:r>
              <w:t>Dense embeddings</w:t>
            </w:r>
          </w:p>
        </w:tc>
        <w:tc>
          <w:tcPr>
            <w:tcW w:type="dxa" w:w="4968"/>
            <w:vAlign w:val="top"/>
          </w:tcPr>
          <w:p>
            <w:r>
              <w:t>all-MiniLM-L6-v2, ST 2.7</w:t>
            </w:r>
          </w:p>
        </w:tc>
      </w:tr>
      <w:tr>
        <w:tc>
          <w:tcPr>
            <w:tcW w:type="dxa" w:w="4968"/>
            <w:vAlign w:val="top"/>
          </w:tcPr>
          <w:p>
            <w:r>
              <w:t>Vector index</w:t>
            </w:r>
          </w:p>
        </w:tc>
        <w:tc>
          <w:tcPr>
            <w:tcW w:type="dxa" w:w="4968"/>
            <w:vAlign w:val="top"/>
          </w:tcPr>
          <w:p>
            <w:r>
              <w:t>FAISS IVF4096, PQ64 1.7.4</w:t>
            </w:r>
          </w:p>
        </w:tc>
      </w:tr>
      <w:tr>
        <w:tc>
          <w:tcPr>
            <w:tcW w:type="dxa" w:w="4968"/>
            <w:vAlign w:val="top"/>
          </w:tcPr>
          <w:p>
            <w:r>
              <w:t>Sparse retrieval</w:t>
            </w:r>
          </w:p>
        </w:tc>
        <w:tc>
          <w:tcPr>
            <w:tcW w:type="dxa" w:w="4968"/>
            <w:vAlign w:val="top"/>
          </w:tcPr>
          <w:p>
            <w:r>
              <w:t>rank-bm25 0.2.2</w:t>
            </w:r>
          </w:p>
        </w:tc>
      </w:tr>
      <w:tr>
        <w:tc>
          <w:tcPr>
            <w:tcW w:type="dxa" w:w="4968"/>
            <w:vAlign w:val="top"/>
          </w:tcPr>
          <w:p>
            <w:r>
              <w:t>Cross-encoder</w:t>
            </w:r>
          </w:p>
        </w:tc>
        <w:tc>
          <w:tcPr>
            <w:tcW w:type="dxa" w:w="4968"/>
            <w:vAlign w:val="top"/>
          </w:tcPr>
          <w:p>
            <w:r>
              <w:t>ms-marco-MiniLM-L-6-v2</w:t>
            </w:r>
          </w:p>
        </w:tc>
      </w:tr>
      <w:tr>
        <w:tc>
          <w:tcPr>
            <w:tcW w:type="dxa" w:w="4968"/>
            <w:vAlign w:val="top"/>
          </w:tcPr>
          <w:p>
            <w:r>
              <w:t>Knowledge graph</w:t>
            </w:r>
          </w:p>
        </w:tc>
        <w:tc>
          <w:tcPr>
            <w:tcW w:type="dxa" w:w="4968"/>
            <w:vAlign w:val="top"/>
          </w:tcPr>
          <w:p>
            <w:r>
              <w:t>Neo4j + GDS 5.13/2.6</w:t>
            </w:r>
          </w:p>
        </w:tc>
      </w:tr>
      <w:tr>
        <w:tc>
          <w:tcPr>
            <w:tcW w:type="dxa" w:w="4968"/>
            <w:vAlign w:val="top"/>
          </w:tcPr>
          <w:p>
            <w:r>
              <w:t>NER</w:t>
            </w:r>
          </w:p>
        </w:tc>
        <w:tc>
          <w:tcPr>
            <w:tcW w:type="dxa" w:w="4968"/>
            <w:vAlign w:val="top"/>
          </w:tcPr>
          <w:p>
            <w:r>
              <w:t>SciSpaCy en_core_sci_lg 0.5.3</w:t>
            </w:r>
          </w:p>
        </w:tc>
      </w:tr>
      <w:tr>
        <w:tc>
          <w:tcPr>
            <w:tcW w:type="dxa" w:w="4968"/>
            <w:vAlign w:val="top"/>
          </w:tcPr>
          <w:p>
            <w:r>
              <w:t>GAT training</w:t>
            </w:r>
          </w:p>
        </w:tc>
        <w:tc>
          <w:tcPr>
            <w:tcW w:type="dxa" w:w="4968"/>
            <w:vAlign w:val="top"/>
          </w:tcPr>
          <w:p>
            <w:r>
              <w:t>PyTorch Geometric 2.5.0</w:t>
            </w:r>
          </w:p>
        </w:tc>
      </w:tr>
      <w:tr>
        <w:tc>
          <w:tcPr>
            <w:tcW w:type="dxa" w:w="4968"/>
            <w:vAlign w:val="top"/>
          </w:tcPr>
          <w:p>
            <w:r>
              <w:t>Evaluation</w:t>
            </w:r>
          </w:p>
        </w:tc>
        <w:tc>
          <w:tcPr>
            <w:tcW w:type="dxa" w:w="4968"/>
            <w:vAlign w:val="top"/>
          </w:tcPr>
          <w:p>
            <w:r>
              <w:t>RAGAS + pytrec_eval 0.1.7/0.5</w:t>
            </w:r>
          </w:p>
        </w:tc>
      </w:tr>
      <w:tr>
        <w:tc>
          <w:tcPr>
            <w:tcW w:type="dxa" w:w="4968"/>
            <w:vAlign w:val="top"/>
          </w:tcPr>
          <w:p>
            <w:r>
              <w:t>OS</w:t>
            </w:r>
          </w:p>
        </w:tc>
        <w:tc>
          <w:tcPr>
            <w:tcW w:type="dxa" w:w="4968"/>
            <w:vAlign w:val="top"/>
          </w:tcPr>
          <w:p>
            <w:r>
              <w:t>Ubuntu Linux 22.04 LTS</w:t>
            </w:r>
          </w:p>
        </w:tc>
      </w:tr>
    </w:tbl>
    <w:p>
      <w:pPr>
        <w:pStyle w:val="Heading1"/>
      </w:pPr>
      <w:r>
        <w:t>19. Statistical Protocol</w:t>
      </w:r>
    </w:p>
    <w:p>
      <w:pPr>
        <w:pStyle w:val="ListBullet"/>
      </w:pPr>
      <w:r>
        <w:t>Two-sided Wilcoxon signed-rank tests.</w:t>
      </w:r>
    </w:p>
    <w:p>
      <w:pPr>
        <w:pStyle w:val="ListBullet"/>
      </w:pPr>
      <w:r>
        <w:t>Bonferroni correction for five simultaneous comparisons; corrected α = 0.01.</w:t>
      </w:r>
    </w:p>
    <w:p>
      <w:pPr>
        <w:pStyle w:val="ListBullet"/>
      </w:pPr>
      <w:r>
        <w:t>Effect sizes: Cohen's d.</w:t>
      </w:r>
    </w:p>
    <w:p>
      <w:pPr>
        <w:pStyle w:val="ListBullet"/>
      </w:pPr>
      <w:r>
        <w:t>95% confidence intervals: bootstrap with n = 10,000 resamples.</w:t>
      </w:r>
    </w:p>
    <w:p>
      <w:pPr>
        <w:pStyle w:val="ListBullet"/>
      </w:pPr>
      <w:r>
        <w:t>Experiments repeated five times; reported values are means across seeds.</w:t>
      </w:r>
    </w:p>
    <w:p>
      <w:pPr>
        <w:pStyle w:val="Heading1"/>
      </w:pPr>
      <w:r>
        <w:t>20. Limitations and Ethical Considerations</w:t>
      </w:r>
    </w:p>
    <w:p>
      <w:pPr>
        <w:pStyle w:val="ListBullet"/>
      </w:pPr>
      <w:r>
        <w:t>Mean end-to-end latency: 18.7 seconds per synthesis query versus 2.3 seconds for Standard RAG.</w:t>
      </w:r>
    </w:p>
    <w:p>
      <w:pPr>
        <w:pStyle w:val="ListBullet"/>
      </w:pPr>
      <w:r>
        <w:t>AKG construction cost: 4.2 hours and 18 GB Neo4j storage for the 42,500-paper corpus; incremental updates stated as approximately 0.8 s/document.</w:t>
      </w:r>
    </w:p>
    <w:p>
      <w:pPr>
        <w:pStyle w:val="ListBullet"/>
      </w:pPr>
      <w:r>
        <w:t>GAT trained on cs.IR/CL/LG papers; knowledge-density predictions may be miscalibrated for disciplines with different citation cultures.</w:t>
      </w:r>
    </w:p>
    <w:p>
      <w:pPr>
        <w:pStyle w:val="ListBullet"/>
      </w:pPr>
      <w:r>
        <w:t>English-language restriction.</w:t>
      </w:r>
    </w:p>
    <w:p>
      <w:pPr>
        <w:pStyle w:val="ListBullet"/>
      </w:pPr>
      <w:r>
        <w:t>No prospective user study; expert PhD annotators act as proxies.</w:t>
      </w:r>
    </w:p>
    <w:p>
      <w:pPr>
        <w:pStyle w:val="ListBullet"/>
      </w:pPr>
      <w:r>
        <w:t>Corpus bias, including over-representation of North American and Western European institutions.</w:t>
      </w:r>
    </w:p>
    <w:p>
      <w:pPr>
        <w:pStyle w:val="ListBullet"/>
      </w:pPr>
      <w:r>
        <w:t>Residual hallucination risk: 7.8% post-CSCG unsupported sentence rate in the reported analysis.</w:t>
      </w:r>
    </w:p>
    <w:p>
      <w:pPr>
        <w:pStyle w:val="ListBullet"/>
      </w:pPr>
      <w:r>
        <w:t>System-generated citations should be treated as provisional and verified against primary sources.</w:t>
      </w:r>
    </w:p>
    <w:p>
      <w:pPr>
        <w:pStyle w:val="ListBullet"/>
      </w:pPr>
      <w:r>
        <w:t>Synthesized narratives should be treated as navigational aids rather than citable primary sources.</w:t>
      </w:r>
    </w:p>
    <w:p>
      <w:pPr>
        <w:pStyle w:val="Heading1"/>
      </w:pPr>
      <w:r>
        <w:t>21. Future Work Listed by ResearchRAG</w:t>
      </w:r>
    </w:p>
    <w:p>
      <w:pPr>
        <w:pStyle w:val="ListBullet"/>
      </w:pPr>
      <w:r>
        <w:t>Distributed AKG construction for million-paper corpora.</w:t>
      </w:r>
    </w:p>
    <w:p>
      <w:pPr>
        <w:pStyle w:val="ListBullet"/>
      </w:pPr>
      <w:r>
        <w:t>RLHF fine-tuning on expert-validated synthesis examples.</w:t>
      </w:r>
    </w:p>
    <w:p>
      <w:pPr>
        <w:pStyle w:val="ListBullet"/>
      </w:pPr>
      <w:r>
        <w:t>Multilingual corpus extension.</w:t>
      </w:r>
    </w:p>
    <w:p>
      <w:pPr>
        <w:pStyle w:val="ListBullet"/>
      </w:pPr>
      <w:r>
        <w:t>Citation velocity in GapScore.</w:t>
      </w:r>
    </w:p>
    <w:p>
      <w:pPr>
        <w:pStyle w:val="ListBullet"/>
      </w:pPr>
      <w:r>
        <w:t>Prospective user studies with practising researchers measuring time savings and review quality.</w:t>
      </w:r>
    </w:p>
    <w:p>
      <w:pPr>
        <w:pStyle w:val="ListBullet"/>
      </w:pPr>
      <w:r>
        <w:t>Extension to multimodal research literature including figures, tables, and supplementary materials.</w:t>
      </w:r>
    </w:p>
    <w:p>
      <w:pPr>
        <w:pStyle w:val="ListBullet"/>
      </w:pPr>
      <w:r>
        <w:t>Integration with public code repositories such as GitHub and arXiv-linked code.</w:t>
      </w:r>
    </w:p>
    <w:p>
      <w:pPr>
        <w:pStyle w:val="ListBullet"/>
      </w:pPr>
      <w:r>
        <w:t>End-to-end extraction and structured representation of figures and tables for table-aware gap detection.</w:t>
      </w:r>
    </w:p>
    <w:p>
      <w:pPr>
        <w:pStyle w:val="Heading1"/>
      </w:pPr>
      <w:r>
        <w:t>22. Relevance to EWRGV</w:t>
      </w:r>
    </w:p>
    <w:p>
      <w:r>
        <w:t>The conversation identified ResearchRAG as much more directly relevant to the proposed research because it explicitly performs research-gap scoring.</w:t>
      </w:r>
    </w:p>
    <w:p>
      <w:r>
        <w:t>The key distinction established in the conversation is: ResearchRAG's CSCG validates whether a generated claim is supported by retrieved passages, whereas the proposed EWRGV direction asks whether the research gap itself remains credible after deliberate evidence expansion and counter-evidence search.</w:t>
      </w:r>
    </w:p>
    <w:p>
      <w:r>
        <w:t>The 24% spurious-gap result caused by corpus incompleteness was identified as the strongest empirical motivation for the EWRGV direction in the conversation.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