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Methodology Design Plan</w:t>
      </w:r>
    </w:p>
    <w:p>
      <w:pPr>
        <w:jc w:val="center"/>
      </w:pPr>
      <w:r>
        <w:rPr>
          <w:i/>
          <w:sz w:val="22"/>
        </w:rPr>
        <w:t>Conversation-derived high-level EWRGV methodology</w:t>
      </w:r>
    </w:p>
    <w:p>
      <w:r>
        <w:rPr>
          <w:b/>
        </w:rPr>
        <w:t xml:space="preserve">Source boundary: </w:t>
      </w:r>
      <w:r>
        <w:t>This document is an extraction and organization of material already present in the conversation, including the uploaded HySemRAG.pdf, ResearchRAG_A_Knowledge-Graph-Enhanced_Hybrid_Mult.pdf, and the pasted conversation-summary material. No new research content is intentionally added.</w:t>
      </w:r>
    </w:p>
    <w:p>
      <w:pPr>
        <w:pStyle w:val="Heading1"/>
      </w:pPr>
      <w:r>
        <w:t>1. Research Direction</w:t>
      </w:r>
    </w:p>
    <w:p>
      <w:r>
        <w:t>Proposed research direction: Evidence-Weighted Research Gap Validation (EWRGV) for RAG-based research-gap identification.</w:t>
      </w:r>
    </w:p>
    <w:p>
      <w:r>
        <w:t>The central distinction established in the conversation is: Gap detection ≠ Gap validation.</w:t>
      </w:r>
    </w:p>
    <w:p>
      <w:r>
        <w:t>The methodology is intended to address the reliability problem in automated research-gap identification, especially false-positive gaps caused by incomplete retrieval, terminology mismatch, corpus incompleteness, or weak evidence.</w:t>
      </w:r>
    </w:p>
    <w:p>
      <w:pPr>
        <w:pStyle w:val="Heading1"/>
      </w:pPr>
      <w:r>
        <w:t>2. Problem Statement Developed in the Conversation</w:t>
      </w:r>
    </w:p>
    <w:p>
      <w:r>
        <w:t>Existing RAG-based research-gap systems can identify candidate gaps using retrieved literature, graph structure, knowledge density, novelty signals, or methodological analysis. However, a candidate gap can be a false positive when relevant literature is missed or when corpus incompleteness is mistaken for absence of research.</w:t>
      </w:r>
    </w:p>
    <w:p>
      <w:r>
        <w:t>ResearchRAG's reported error analysis states that 12/50 gap queries (24%) were judged to reflect corpus incompleteness rather than genuine open problems. This was identified in the conversation as a major motivation for EWRGV.</w:t>
      </w:r>
    </w:p>
    <w:p>
      <w:pPr>
        <w:pStyle w:val="Heading1"/>
      </w:pPr>
      <w:r>
        <w:t>3. Current Novelty Statement</w:t>
      </w:r>
    </w:p>
    <w:p>
      <w:r>
        <w:t>Existing RAG-based research-gap systems primarily identify candidate gaps from retrieved literature, graph structure, knowledge density, or novelty signals. However, they can produce false-positive gaps when relevant literature is missed or when corpus incompleteness is mistaken for absence of research. We propose Evidence-Weighted Research Gap Validation (EWRGV), a dedicated post-detection validation stage that performs evidence expansion and evaluates the quality and coverage of supporting literature before accepting a candidate gap. The system produces an evidence-backed confidence score and explanation, improving the reliability and interpretability of automated research-gap identification.</w:t>
      </w:r>
    </w:p>
    <w:p>
      <w:pPr>
        <w:pStyle w:val="Heading1"/>
      </w:pPr>
      <w:r>
        <w:t>4. Core Research Question</w:t>
      </w:r>
    </w:p>
    <w:p>
      <w:r>
        <w:t>RQ: How can an RAG-based system validate whether an automatically identified research gap is genuinely unsupported by existing literature rather than being an artifact of incomplete retrieval or corpus coverage?</w:t>
      </w:r>
    </w:p>
    <w:p>
      <w:r>
        <w:t>Secondary questions recorded in the conversation:</w:t>
      </w:r>
    </w:p>
    <w:p>
      <w:pPr>
        <w:pStyle w:val="ListBullet"/>
      </w:pPr>
      <w:r>
        <w:t>RQ1: Can evidence expansion reduce false-positive research gaps?</w:t>
      </w:r>
    </w:p>
    <w:p>
      <w:pPr>
        <w:pStyle w:val="ListBullet"/>
      </w:pPr>
      <w:r>
        <w:t>RQ2: Can evidence-weighting improve the reliability of gap confidence estimates?</w:t>
      </w:r>
    </w:p>
    <w:p>
      <w:pPr>
        <w:pStyle w:val="ListBullet"/>
      </w:pPr>
      <w:r>
        <w:t>RQ3: Does explicit gap validation improve expert agreement with automatically identified gaps?</w:t>
      </w:r>
    </w:p>
    <w:p>
      <w:pPr>
        <w:pStyle w:val="ListBullet"/>
      </w:pPr>
      <w:r>
        <w:t>RQ4: Which evidence signals are most useful for distinguishing genuine gaps from false gaps?</w:t>
      </w:r>
    </w:p>
    <w:p>
      <w:pPr>
        <w:pStyle w:val="Heading1"/>
      </w:pPr>
      <w:r>
        <w:t>5. High-Level EWRGV Architecture</w:t>
      </w:r>
    </w:p>
    <w:p>
      <w:pPr>
        <w:pStyle w:val="NoSpacing"/>
      </w:pPr>
      <w:r>
        <w:rPr>
          <w:rFonts w:ascii="Consolas" w:hAnsi="Consolas" w:eastAsia="Consolas"/>
          <w:sz w:val="18"/>
        </w:rPr>
        <w:t xml:space="preserve">                    Research Question</w:t>
        <w:br/>
        <w:t xml:space="preserve">                           ↓</w:t>
        <w:br/>
        <w:t xml:space="preserve">                    Query Expansion</w:t>
        <w:br/>
        <w:t xml:space="preserve">                           ↓</w:t>
        <w:br/>
        <w:t xml:space="preserve">                 Literature Retrieval</w:t>
        <w:br/>
        <w:t xml:space="preserve">                           ↓</w:t>
        <w:br/>
        <w:t xml:space="preserve">              ┌────────────┴────────────┐</w:t>
        <w:br/>
        <w:t xml:space="preserve">              ↓                         ↓</w:t>
        <w:br/>
        <w:t xml:space="preserve">        Semantic Search              BM25</w:t>
        <w:br/>
        <w:t xml:space="preserve">              ↓                         ↓</w:t>
        <w:br/>
        <w:t xml:space="preserve">              └────────────┬────────────┘</w:t>
        <w:br/>
        <w:t xml:space="preserve">                           ↓</w:t>
        <w:br/>
        <w:t xml:space="preserve">                      Reranking</w:t>
        <w:br/>
        <w:t xml:space="preserve">                           ↓</w:t>
        <w:br/>
        <w:t xml:space="preserve">                  Evidence Collection</w:t>
        <w:br/>
        <w:t xml:space="preserve">                           ↓</w:t>
        <w:br/>
        <w:t xml:space="preserve">                 Gap Identification</w:t>
        <w:br/>
        <w:t xml:space="preserve">                           ↓</w:t>
        <w:br/>
        <w:t xml:space="preserve">                Candidate Research Gap</w:t>
        <w:br/>
        <w:t xml:space="preserve">                           ↓</w:t>
        <w:br/>
        <w:t xml:space="preserve">                ┌──────────────────────┐</w:t>
        <w:br/>
        <w:t xml:space="preserve">                │ EWRGV VALIDATOR      │</w:t>
        <w:br/>
        <w:t xml:space="preserve">                │                      │</w:t>
        <w:br/>
        <w:t xml:space="preserve">                │ 1. Evidence Search   │</w:t>
        <w:br/>
        <w:t xml:space="preserve">                │ 2. Counter Search    │</w:t>
        <w:br/>
        <w:t xml:space="preserve">                │ 3. Missing Evidence  │</w:t>
        <w:br/>
        <w:t xml:space="preserve">                │ 4. Contradiction     │</w:t>
        <w:br/>
        <w:t xml:space="preserve">                │ 5. Coverage Analysis │</w:t>
        <w:br/>
        <w:t xml:space="preserve">                └──────────┬───────────┘</w:t>
        <w:br/>
        <w:t xml:space="preserve">                           ↓</w:t>
        <w:br/>
        <w:t xml:space="preserve">                    Evidence Scoring</w:t>
        <w:br/>
        <w:t xml:space="preserve">                           ↓</w:t>
        <w:br/>
        <w:t xml:space="preserve">                  Gap Confidence Score</w:t>
        <w:br/>
        <w:t xml:space="preserve">                           ↓</w:t>
        <w:br/>
        <w:t xml:space="preserve">          ┌────────────────┼────────────────┐</w:t>
        <w:br/>
        <w:t xml:space="preserve">          ↓                ↓                ↓</w:t>
        <w:br/>
        <w:t xml:space="preserve">       Valid Gap      Uncertain Gap    Unsupported</w:t>
      </w:r>
    </w:p>
    <w:p>
      <w:pPr>
        <w:pStyle w:val="Heading1"/>
      </w:pPr>
      <w:r>
        <w:t>6. Initial Five-Module Version</w:t>
      </w:r>
    </w:p>
    <w:p>
      <w:pPr>
        <w:pStyle w:val="NoSpacing"/>
      </w:pPr>
      <w:r>
        <w:rPr>
          <w:rFonts w:ascii="Consolas" w:hAnsi="Consolas" w:eastAsia="Consolas"/>
          <w:sz w:val="18"/>
        </w:rPr>
        <w:t>MODULE 1</w:t>
        <w:br/>
        <w:t>Literature Collection</w:t>
        <w:br/>
        <w:t xml:space="preserve">        ↓</w:t>
        <w:br/>
        <w:t>MODULE 2</w:t>
        <w:br/>
        <w:t>Hybrid Retrieval</w:t>
        <w:br/>
        <w:t xml:space="preserve">        ↓</w:t>
        <w:br/>
        <w:t>MODULE 3</w:t>
        <w:br/>
        <w:t>Gap Identification</w:t>
        <w:br/>
        <w:t xml:space="preserve">        ↓</w:t>
        <w:br/>
        <w:t>MODULE 4</w:t>
        <w:br/>
        <w:t>Evidence-Weighted Validation</w:t>
        <w:br/>
        <w:t xml:space="preserve">        ↓</w:t>
        <w:br/>
        <w:t>MODULE 5</w:t>
        <w:br/>
        <w:t>Gap Confidence + Explanation</w:t>
      </w:r>
    </w:p>
    <w:p>
      <w:r>
        <w:t>The conversation explicitly recommended keeping the first high-level design to these five major modules rather than immediately reproducing every advanced component from HySemRAG or ResearchRAG.</w:t>
      </w:r>
    </w:p>
    <w:p>
      <w:pPr>
        <w:pStyle w:val="Heading1"/>
      </w:pPr>
      <w:r>
        <w:t>7. Candidate Gap Verification Workflow</w:t>
      </w:r>
    </w:p>
    <w:p>
      <w:r>
        <w:t>The conversation's example process starts after a candidate statement such as: 'There is insufficient research comparing X and Y.' The validator does not immediately accept the statement.</w:t>
      </w:r>
    </w:p>
    <w:p>
      <w:pPr>
        <w:pStyle w:val="NoSpacing"/>
      </w:pPr>
      <w:r>
        <w:rPr>
          <w:rFonts w:ascii="Consolas" w:hAnsi="Consolas" w:eastAsia="Consolas"/>
          <w:sz w:val="18"/>
        </w:rPr>
        <w:t>Candidate gap</w:t>
        <w:br/>
        <w:t xml:space="preserve">      ↓</w:t>
        <w:br/>
        <w:t>Is the gap actually true?</w:t>
        <w:br/>
        <w:t xml:space="preserve">      ↓</w:t>
        <w:br/>
        <w:t>Generate verification queries</w:t>
        <w:br/>
        <w:t xml:space="preserve">      ↓</w:t>
        <w:br/>
        <w:t>Search direct evidence</w:t>
        <w:br/>
        <w:t xml:space="preserve">      ↓</w:t>
        <w:br/>
        <w:t>Search synonyms / alternative terminology</w:t>
        <w:br/>
        <w:t xml:space="preserve">      ↓</w:t>
        <w:br/>
        <w:t>Search method variations</w:t>
        <w:br/>
        <w:t xml:space="preserve">      ↓</w:t>
        <w:br/>
        <w:t>Search counter-evidence</w:t>
        <w:br/>
        <w:t xml:space="preserve">      ↓</w:t>
        <w:br/>
        <w:t>Aggregate evidence</w:t>
        <w:br/>
        <w:t xml:space="preserve">      ↓</w:t>
        <w:br/>
        <w:t>Confidence / classification</w:t>
      </w:r>
    </w:p>
    <w:p>
      <w:pPr>
        <w:pStyle w:val="ListBullet"/>
      </w:pPr>
      <w:r>
        <w:t>Direct evidence query.</w:t>
      </w:r>
    </w:p>
    <w:p>
      <w:pPr>
        <w:pStyle w:val="ListBullet"/>
      </w:pPr>
      <w:r>
        <w:t>Synonym and alternative-terminology queries.</w:t>
      </w:r>
    </w:p>
    <w:p>
      <w:pPr>
        <w:pStyle w:val="ListBullet"/>
      </w:pPr>
      <w:r>
        <w:t>Method-variation queries.</w:t>
      </w:r>
    </w:p>
    <w:p>
      <w:pPr>
        <w:pStyle w:val="ListBullet"/>
      </w:pPr>
      <w:r>
        <w:t>Counter-evidence queries designed to try to disprove the gap.</w:t>
      </w:r>
    </w:p>
    <w:p>
      <w:pPr>
        <w:pStyle w:val="Heading1"/>
      </w:pPr>
      <w:r>
        <w:t>8. Adversarial Validation Principle</w:t>
      </w:r>
    </w:p>
    <w:p>
      <w:r>
        <w:t>The conversation developed the following principle: A candidate research gap should not be accepted merely because supporting evidence exists; the system should actively search for counter-evidence that could invalidate the gap.</w:t>
      </w:r>
    </w:p>
    <w:p>
      <w:r>
        <w:t>The purpose is to try to disprove the gap rather than only collect evidence that supports it.</w:t>
      </w:r>
    </w:p>
    <w:p>
      <w:pPr>
        <w:pStyle w:val="Heading1"/>
      </w:pPr>
      <w:r>
        <w:t>9. Evidence Categories</w:t>
      </w:r>
    </w:p>
    <w:p>
      <w:pPr>
        <w:pStyle w:val="NoSpacing"/>
      </w:pPr>
      <w:r>
        <w:rPr>
          <w:rFonts w:ascii="Consolas" w:hAnsi="Consolas" w:eastAsia="Consolas"/>
          <w:sz w:val="18"/>
        </w:rPr>
        <w:t>Supporting evidence</w:t>
        <w:br/>
        <w:t xml:space="preserve">    ↓</w:t>
        <w:br/>
        <w:t>Evidence that supports the candidate gap</w:t>
        <w:br/>
        <w:br/>
        <w:t>Counter-evidence</w:t>
        <w:br/>
        <w:t xml:space="preserve">    ↓</w:t>
        <w:br/>
        <w:t>Evidence that directly challenges the gap</w:t>
        <w:br/>
        <w:br/>
        <w:t>Partial evidence</w:t>
        <w:br/>
        <w:t xml:space="preserve">    ↓</w:t>
        <w:br/>
        <w:t>Evidence covering only part of the claimed gap</w:t>
        <w:br/>
        <w:br/>
        <w:t>Contradictory evidence</w:t>
        <w:br/>
        <w:t xml:space="preserve">    ↓</w:t>
        <w:br/>
        <w:t>Evidence inconsistent with the candidate gap</w:t>
        <w:br/>
        <w:br/>
        <w:t>Insufficient evidence</w:t>
        <w:br/>
        <w:t xml:space="preserve">    ↓</w:t>
        <w:br/>
        <w:t>No reliable evidence found</w:t>
      </w:r>
    </w:p>
    <w:p>
      <w:r>
        <w:t>The conversation gave these conceptual categories and examples involving papers that compare methods, evaluate only one side of a comparison, or explicitly state limitations.</w:t>
      </w:r>
    </w:p>
    <w:p>
      <w:pPr>
        <w:pStyle w:val="Heading1"/>
      </w:pPr>
      <w:r>
        <w:t>10. Evidence-Chain Explainability</w:t>
      </w:r>
    </w:p>
    <w:p>
      <w:pPr>
        <w:pStyle w:val="NoSpacing"/>
      </w:pPr>
      <w:r>
        <w:rPr>
          <w:rFonts w:ascii="Consolas" w:hAnsi="Consolas" w:eastAsia="Consolas"/>
          <w:sz w:val="18"/>
        </w:rPr>
        <w:t>Research Gap</w:t>
        <w:br/>
        <w:t xml:space="preserve">     ↓</w:t>
        <w:br/>
        <w:t>Supporting papers</w:t>
        <w:br/>
        <w:t xml:space="preserve">     ↓</w:t>
        <w:br/>
        <w:t>Contradicting papers</w:t>
        <w:br/>
        <w:t xml:space="preserve">     ↓</w:t>
        <w:br/>
        <w:t>Missing experiments</w:t>
        <w:br/>
        <w:t xml:space="preserve">     ↓</w:t>
        <w:br/>
        <w:t>Future-work statements</w:t>
        <w:br/>
        <w:t xml:space="preserve">     ↓</w:t>
        <w:br/>
        <w:t>Evidence quality</w:t>
        <w:br/>
        <w:t xml:space="preserve">     ↓</w:t>
        <w:br/>
        <w:t>Confidence</w:t>
      </w:r>
    </w:p>
    <w:p>
      <w:r>
        <w:t>The conversation identified evidence-chain explainability as an important potential direction: instead of returning only a numeric GapScore, the system should show the evidence underlying the assessment.</w:t>
      </w:r>
    </w:p>
    <w:p>
      <w:pPr>
        <w:pStyle w:val="Heading1"/>
      </w:pPr>
      <w:r>
        <w:t>11. Gap Confidence Concept</w:t>
      </w:r>
    </w:p>
    <w:p>
      <w:pPr>
        <w:pStyle w:val="NoSpacing"/>
      </w:pPr>
      <w:r>
        <w:rPr>
          <w:rFonts w:ascii="Consolas" w:hAnsi="Consolas" w:eastAsia="Consolas"/>
          <w:sz w:val="18"/>
        </w:rPr>
        <w:t>Gap Confidence =</w:t>
        <w:br/>
        <w:t xml:space="preserve">    supporting evidence</w:t>
        <w:br/>
        <w:t xml:space="preserve">    +</w:t>
        <w:br/>
        <w:t xml:space="preserve">    literature coverage</w:t>
        <w:br/>
        <w:t xml:space="preserve">    +</w:t>
        <w:br/>
        <w:t xml:space="preserve">    consistency</w:t>
        <w:br/>
        <w:t xml:space="preserve">    +</w:t>
        <w:br/>
        <w:t xml:space="preserve">    temporal relevance</w:t>
        <w:br/>
        <w:t xml:space="preserve">    -</w:t>
        <w:br/>
        <w:t xml:space="preserve">    counter-evidence</w:t>
        <w:br/>
        <w:t xml:space="preserve">    -</w:t>
        <w:br/>
        <w:t xml:space="preserve">    corpus uncertainty</w:t>
      </w:r>
    </w:p>
    <w:p>
      <w:r>
        <w:t>The conversation noted that the exact final equation should not be fixed yet and should be informed by the literature survey.</w:t>
      </w:r>
    </w:p>
    <w:p>
      <w:r>
        <w:t>A conceptual form mentioned was G = f(S, C, T, K, -X), where S = support, C = corpus coverage, T = temporal coverage, K = consistency, and X = counter-evidence.</w:t>
      </w:r>
    </w:p>
    <w:p>
      <w:pPr>
        <w:pStyle w:val="Heading1"/>
      </w:pPr>
      <w:r>
        <w:t>12. Corpus Coverage as a Central Validation Dimension</w:t>
      </w:r>
    </w:p>
    <w:p>
      <w:pPr>
        <w:pStyle w:val="NoSpacing"/>
      </w:pPr>
      <w:r>
        <w:rPr>
          <w:rFonts w:ascii="Consolas" w:hAnsi="Consolas" w:eastAsia="Consolas"/>
          <w:sz w:val="18"/>
        </w:rPr>
        <w:t>Observed scarcity</w:t>
        <w:br/>
        <w:t xml:space="preserve">       ≠</w:t>
        <w:br/>
        <w:t>Actual research gap</w:t>
      </w:r>
    </w:p>
    <w:p>
      <w:r>
        <w:t>The conversation used the following logic: if the evidence base contains 500 papers and only two discuss X + Y, the system cannot immediately conclude that there is a gap because relevant papers may be missing from the corpus.</w:t>
      </w:r>
    </w:p>
    <w:p>
      <w:r>
        <w:t>This was connected directly to ResearchRAG's reported spurious-gap failures due to corpus incompleteness.</w:t>
      </w:r>
    </w:p>
    <w:p>
      <w:pPr>
        <w:pStyle w:val="Heading1"/>
      </w:pPr>
      <w:r>
        <w:t>13. Example Output Structure</w:t>
      </w:r>
    </w:p>
    <w:p>
      <w:pPr>
        <w:pStyle w:val="NoSpacing"/>
      </w:pPr>
      <w:r>
        <w:rPr>
          <w:rFonts w:ascii="Consolas" w:hAnsi="Consolas" w:eastAsia="Consolas"/>
          <w:sz w:val="18"/>
        </w:rPr>
        <w:t>Candidate gap</w:t>
        <w:br/>
        <w:t xml:space="preserve">    ↓</w:t>
        <w:br/>
        <w:t>Evidence supporting the gap</w:t>
        <w:br/>
        <w:t xml:space="preserve">    • supporting papers</w:t>
        <w:br/>
        <w:t xml:space="preserve">    • relevant limitations</w:t>
        <w:br/>
        <w:t xml:space="preserve">    • partial coverage</w:t>
        <w:br/>
        <w:t xml:space="preserve">    ↓</w:t>
        <w:br/>
        <w:t>Counter-evidence search</w:t>
        <w:br/>
        <w:t xml:space="preserve">    • number of candidate papers searched</w:t>
        <w:br/>
        <w:t xml:space="preserve">    • synonym-expanded queries</w:t>
        <w:br/>
        <w:t xml:space="preserve">    • potentially relevant papers</w:t>
        <w:br/>
        <w:t xml:space="preserve">    ↓</w:t>
        <w:br/>
        <w:t>Counter-evidence</w:t>
        <w:br/>
        <w:t xml:space="preserve">    • evidence that challenges or qualifies the gap</w:t>
        <w:br/>
        <w:t xml:space="preserve">    ↓</w:t>
        <w:br/>
        <w:t>Coverage</w:t>
        <w:br/>
        <w:t xml:space="preserve">    • assessment of literature coverage</w:t>
        <w:br/>
        <w:t xml:space="preserve">    ↓</w:t>
        <w:br/>
        <w:t>Final assessment</w:t>
        <w:br/>
        <w:t xml:space="preserve">    • Valid / Uncertain / Unsupported</w:t>
        <w:br/>
        <w:t xml:space="preserve">    • confidence</w:t>
        <w:br/>
        <w:t xml:space="preserve">    • evidence-backed explanation</w:t>
      </w:r>
    </w:p>
    <w:p>
      <w:pPr>
        <w:pStyle w:val="Heading1"/>
      </w:pPr>
      <w:r>
        <w:t>14. Gap Types Considered in the Conversation</w:t>
      </w:r>
    </w:p>
    <w:p>
      <w:pPr>
        <w:pStyle w:val="ListBullet"/>
      </w:pPr>
      <w:r>
        <w:t>Methodological gap</w:t>
      </w:r>
    </w:p>
    <w:p>
      <w:pPr>
        <w:pStyle w:val="ListBullet"/>
      </w:pPr>
      <w:r>
        <w:t>Population gap</w:t>
      </w:r>
    </w:p>
    <w:p>
      <w:pPr>
        <w:pStyle w:val="ListBullet"/>
      </w:pPr>
      <w:r>
        <w:t>Dataset gap</w:t>
      </w:r>
    </w:p>
    <w:p>
      <w:pPr>
        <w:pStyle w:val="ListBullet"/>
      </w:pPr>
      <w:r>
        <w:t>Geographic gap</w:t>
      </w:r>
    </w:p>
    <w:p>
      <w:pPr>
        <w:pStyle w:val="ListBullet"/>
      </w:pPr>
      <w:r>
        <w:t>Temporal gap</w:t>
      </w:r>
    </w:p>
    <w:p>
      <w:pPr>
        <w:pStyle w:val="ListBullet"/>
      </w:pPr>
      <w:r>
        <w:t>Contradictory evidence</w:t>
      </w:r>
    </w:p>
    <w:p>
      <w:pPr>
        <w:pStyle w:val="ListBullet"/>
      </w:pPr>
      <w:r>
        <w:t>Evaluation gap</w:t>
      </w:r>
    </w:p>
    <w:p>
      <w:pPr>
        <w:pStyle w:val="Heading1"/>
      </w:pPr>
      <w:r>
        <w:t>15. Other Gap Directions Identified</w:t>
      </w:r>
    </w:p>
    <w:p>
      <w:pPr>
        <w:pStyle w:val="ListBullet"/>
      </w:pPr>
      <w:r>
        <w:t>Sparse ≠ Gap: low knowledge density should not automatically be treated as a scientifically meaningful gap.</w:t>
      </w:r>
    </w:p>
    <w:p>
      <w:pPr>
        <w:pStyle w:val="ListBullet"/>
      </w:pPr>
      <w:r>
        <w:t>Cross-paper contradictions: conflicting findings may represent a potential gap.</w:t>
      </w:r>
    </w:p>
    <w:p>
      <w:pPr>
        <w:pStyle w:val="ListBullet"/>
      </w:pPr>
      <w:r>
        <w:t>Section-aware analysis: Introduction, Methodology, Experiments, Limitations, and Future Work have distinct roles; the conversation specifically noted Limitations and Future Work as especially valuable for gap discovery.</w:t>
      </w:r>
    </w:p>
    <w:p>
      <w:pPr>
        <w:pStyle w:val="ListBullet"/>
      </w:pPr>
      <w:r>
        <w:t>Evidence-chain explainability.</w:t>
      </w:r>
    </w:p>
    <w:p>
      <w:pPr>
        <w:pStyle w:val="ListBullet"/>
      </w:pPr>
      <w:r>
        <w:t>Multi-source research: the conversation mentioned papers, GitHub, datasets, benchmarks, and model repositories as a possible future extension, while noting that ResearchRAG's own future work mentions public code repositories and other research artifacts.</w:t>
      </w:r>
    </w:p>
    <w:p>
      <w:pPr>
        <w:pStyle w:val="Heading1"/>
      </w:pPr>
      <w:r>
        <w:t>16. What EWRGV Is and Is Not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Aspect</w:t>
            </w:r>
          </w:p>
        </w:tc>
        <w:tc>
          <w:tcPr>
            <w:tcW w:type="dxa" w:w="4968"/>
            <w:shd w:fill="D9EAF7"/>
            <w:vAlign w:val="center"/>
          </w:tcPr>
          <w:p>
            <w:r>
              <w:rPr>
                <w:b/>
              </w:rPr>
              <w:t>Conversation-derived positioning</w:t>
            </w:r>
          </w:p>
        </w:tc>
      </w:tr>
      <w:tr>
        <w:tc>
          <w:tcPr>
            <w:tcW w:type="dxa" w:w="4968"/>
            <w:vAlign w:val="top"/>
          </w:tcPr>
          <w:p>
            <w:r>
              <w:t>Primary focus</w:t>
            </w:r>
          </w:p>
        </w:tc>
        <w:tc>
          <w:tcPr>
            <w:tcW w:type="dxa" w:w="4968"/>
            <w:vAlign w:val="top"/>
          </w:tcPr>
          <w:p>
            <w:r>
              <w:t>Reliability of automated research-gap identification</w:t>
            </w:r>
          </w:p>
        </w:tc>
      </w:tr>
      <w:tr>
        <w:tc>
          <w:tcPr>
            <w:tcW w:type="dxa" w:w="4968"/>
            <w:vAlign w:val="top"/>
          </w:tcPr>
          <w:p>
            <w:r>
              <w:t>Detection</w:t>
            </w:r>
          </w:p>
        </w:tc>
        <w:tc>
          <w:tcPr>
            <w:tcW w:type="dxa" w:w="4968"/>
            <w:vAlign w:val="top"/>
          </w:tcPr>
          <w:p>
            <w:r>
              <w:t>Find a candidate gap</w:t>
            </w:r>
          </w:p>
        </w:tc>
      </w:tr>
      <w:tr>
        <w:tc>
          <w:tcPr>
            <w:tcW w:type="dxa" w:w="4968"/>
            <w:vAlign w:val="top"/>
          </w:tcPr>
          <w:p>
            <w:r>
              <w:t>Validation</w:t>
            </w:r>
          </w:p>
        </w:tc>
        <w:tc>
          <w:tcPr>
            <w:tcW w:type="dxa" w:w="4968"/>
            <w:vAlign w:val="top"/>
          </w:tcPr>
          <w:p>
            <w:r>
              <w:t>Determine whether the candidate should be believed</w:t>
            </w:r>
          </w:p>
        </w:tc>
      </w:tr>
      <w:tr>
        <w:tc>
          <w:tcPr>
            <w:tcW w:type="dxa" w:w="4968"/>
            <w:vAlign w:val="top"/>
          </w:tcPr>
          <w:p>
            <w:r>
              <w:t>Core novelty</w:t>
            </w:r>
          </w:p>
        </w:tc>
        <w:tc>
          <w:tcPr>
            <w:tcW w:type="dxa" w:w="4968"/>
            <w:vAlign w:val="top"/>
          </w:tcPr>
          <w:p>
            <w:r>
              <w:t>Dedicated evidence-weighted post-detection validation</w:t>
            </w:r>
          </w:p>
        </w:tc>
      </w:tr>
      <w:tr>
        <w:tc>
          <w:tcPr>
            <w:tcW w:type="dxa" w:w="4968"/>
            <w:vAlign w:val="top"/>
          </w:tcPr>
          <w:p>
            <w:r>
              <w:t>Counter-search</w:t>
            </w:r>
          </w:p>
        </w:tc>
        <w:tc>
          <w:tcPr>
            <w:tcW w:type="dxa" w:w="4968"/>
            <w:vAlign w:val="top"/>
          </w:tcPr>
          <w:p>
            <w:r>
              <w:t>Explicitly search for evidence that could invalidate the gap</w:t>
            </w:r>
          </w:p>
        </w:tc>
      </w:tr>
      <w:tr>
        <w:tc>
          <w:tcPr>
            <w:tcW w:type="dxa" w:w="4968"/>
            <w:vAlign w:val="top"/>
          </w:tcPr>
          <w:p>
            <w:r>
              <w:t>Output</w:t>
            </w:r>
          </w:p>
        </w:tc>
        <w:tc>
          <w:tcPr>
            <w:tcW w:type="dxa" w:w="4968"/>
            <w:vAlign w:val="top"/>
          </w:tcPr>
          <w:p>
            <w:r>
              <w:t>Evidence-backed confidence and explanation</w:t>
            </w:r>
          </w:p>
        </w:tc>
      </w:tr>
      <w:tr>
        <w:tc>
          <w:tcPr>
            <w:tcW w:type="dxa" w:w="4968"/>
            <w:vAlign w:val="top"/>
          </w:tcPr>
          <w:p>
            <w:r>
              <w:t>Existing system distinction</w:t>
            </w:r>
          </w:p>
        </w:tc>
        <w:tc>
          <w:tcPr>
            <w:tcW w:type="dxa" w:w="4968"/>
            <w:vAlign w:val="top"/>
          </w:tcPr>
          <w:p>
            <w:r>
              <w:t>Citation/claim verification is not the same as gap validation</w:t>
            </w:r>
          </w:p>
        </w:tc>
      </w:tr>
    </w:tbl>
    <w:p>
      <w:pPr>
        <w:pStyle w:val="Heading1"/>
      </w:pPr>
      <w:r>
        <w:t>17. Relationship to HySemRAG</w:t>
      </w:r>
    </w:p>
    <w:p>
      <w:r>
        <w:t>The conversation positioned HySemRAG as strong in document processing, structured extraction, hybrid retrieval, knowledge-graph/vector infrastructure, citation provenance, and methodological trend/gap analysis.</w:t>
      </w:r>
    </w:p>
    <w:p>
      <w:r>
        <w:t>The methodological distinction recorded was that HySemRAG's post-hoc citation verification checks whether generated evidence/citations map to source material; it is not presented in the conversation as a dedicated mechanism for actively trying to invalidate a research gap.</w:t>
      </w:r>
    </w:p>
    <w:p>
      <w:pPr>
        <w:pStyle w:val="Heading1"/>
      </w:pPr>
      <w:r>
        <w:t>18. Relationship to ResearchRAG</w:t>
      </w:r>
    </w:p>
    <w:p>
      <w:r>
        <w:t>ResearchRAG is directly relevant because it includes explicit research-gap scoring through GNN-RGS and citation-aware self-correction.</w:t>
      </w:r>
    </w:p>
    <w:p>
      <w:r>
        <w:t>The conversation's key distinction is that CSCG verifies support for generated claims from retrieved passages, while EWRGV is intended to verify whether the research gap itself remains credible after evidence expansion and counter-evidence search.</w:t>
      </w:r>
    </w:p>
    <w:p>
      <w:r>
        <w:t>The paper's reported 24% spurious gaps due to corpus incompleteness were identified as the strongest motivation for EWRGV.</w:t>
      </w:r>
    </w:p>
    <w:p>
      <w:pPr>
        <w:pStyle w:val="Heading1"/>
      </w:pPr>
      <w:r>
        <w:t>19. Proposed Learning / Implementation Direction</w:t>
      </w:r>
    </w:p>
    <w:p>
      <w:pPr>
        <w:pStyle w:val="NoSpacing"/>
      </w:pPr>
      <w:r>
        <w:rPr>
          <w:rFonts w:ascii="Consolas" w:hAnsi="Consolas" w:eastAsia="Consolas"/>
          <w:sz w:val="18"/>
        </w:rPr>
        <w:t>5–20 papers</w:t>
        <w:br/>
        <w:t xml:space="preserve">     ↓</w:t>
        <w:br/>
        <w:t>PDF/text extraction</w:t>
        <w:br/>
        <w:t xml:space="preserve">     ↓</w:t>
        <w:br/>
        <w:t>Chunking</w:t>
        <w:br/>
        <w:t xml:space="preserve">     ↓</w:t>
        <w:br/>
        <w:t>Embeddings</w:t>
        <w:br/>
        <w:t xml:space="preserve">     ↓</w:t>
        <w:br/>
        <w:t>Vector DB</w:t>
        <w:br/>
        <w:t xml:space="preserve">     ↓</w:t>
        <w:br/>
        <w:t>Retrieval</w:t>
        <w:br/>
        <w:t xml:space="preserve">     ↓</w:t>
        <w:br/>
        <w:t>LLM</w:t>
        <w:br/>
        <w:t xml:space="preserve">     ↓</w:t>
        <w:br/>
        <w:t>Answer with citations</w:t>
        <w:br/>
        <w:br/>
        <w:t>Then:</w:t>
        <w:br/>
        <w:t>Basic RAG</w:t>
        <w:br/>
        <w:t xml:space="preserve">   ↓</w:t>
        <w:br/>
        <w:t>BM25</w:t>
        <w:br/>
        <w:t xml:space="preserve">   ↓</w:t>
        <w:br/>
        <w:t>Hybrid RAG</w:t>
        <w:br/>
        <w:t xml:space="preserve">   ↓</w:t>
        <w:br/>
        <w:t>Reranking</w:t>
        <w:br/>
        <w:t xml:space="preserve">   ↓</w:t>
        <w:br/>
        <w:t>Candidate gap generation</w:t>
        <w:br/>
        <w:t xml:space="preserve">   ↓</w:t>
        <w:br/>
        <w:t>Verification searches</w:t>
        <w:br/>
        <w:t xml:space="preserve">   ↓</w:t>
        <w:br/>
        <w:t>Evidence analysis</w:t>
        <w:br/>
        <w:t xml:space="preserve">   ↓</w:t>
        <w:br/>
        <w:t>Confidence</w:t>
      </w:r>
    </w:p>
    <w:p>
      <w:r>
        <w:t>The conversation explicitly advised progressing from a small basic RAG system to hybrid retrieval, reranking, gap identification, and finally evidence-weighted validation.</w:t>
      </w:r>
    </w:p>
    <w:p>
      <w:pPr>
        <w:pStyle w:val="Heading1"/>
      </w:pPr>
      <w:r>
        <w:t>20. What Not to Build First</w:t>
      </w:r>
    </w:p>
    <w:p>
      <w:pPr>
        <w:pStyle w:val="ListBullet"/>
      </w:pPr>
      <w:r>
        <w:t>Neo4j</w:t>
      </w:r>
    </w:p>
    <w:p>
      <w:pPr>
        <w:pStyle w:val="ListBullet"/>
      </w:pPr>
      <w:r>
        <w:t>GNN</w:t>
      </w:r>
    </w:p>
    <w:p>
      <w:pPr>
        <w:pStyle w:val="ListBullet"/>
      </w:pPr>
      <w:r>
        <w:t>LangGraph</w:t>
      </w:r>
    </w:p>
    <w:p>
      <w:pPr>
        <w:pStyle w:val="ListBullet"/>
      </w:pPr>
      <w:r>
        <w:t>Multi-agent architecture</w:t>
      </w:r>
    </w:p>
    <w:p>
      <w:pPr>
        <w:pStyle w:val="ListBullet"/>
      </w:pPr>
      <w:r>
        <w:t>Fine-tuning</w:t>
      </w:r>
    </w:p>
    <w:p>
      <w:pPr>
        <w:pStyle w:val="ListBullet"/>
      </w:pPr>
      <w:r>
        <w:t>Complex GraphRAG</w:t>
      </w:r>
    </w:p>
    <w:p>
      <w:pPr>
        <w:pStyle w:val="ListBullet"/>
      </w:pPr>
      <w:r>
        <w:t>Distributed GPU processing</w:t>
      </w:r>
    </w:p>
    <w:p>
      <w:pPr>
        <w:pStyle w:val="ListBullet"/>
      </w:pPr>
      <w:r>
        <w:t>Custom PDF parsing</w:t>
      </w:r>
    </w:p>
    <w:p>
      <w:r>
        <w:t>The reason recorded in the conversation was to avoid the engineering scale of HySemRAG/ResearchRAG before the underlying RAG concepts are understood.</w:t>
      </w:r>
    </w:p>
    <w:p>
      <w:pPr>
        <w:pStyle w:val="Heading1"/>
      </w:pPr>
      <w:r>
        <w:t>21. High-Level Methodology Deliverables</w:t>
      </w:r>
    </w:p>
    <w:p>
      <w:pPr>
        <w:pStyle w:val="ListNumber"/>
      </w:pPr>
      <w:r>
        <w:t>Technology map and literature understanding.</w:t>
      </w:r>
    </w:p>
    <w:p>
      <w:pPr>
        <w:pStyle w:val="ListNumber"/>
      </w:pPr>
      <w:r>
        <w:t>Comparison of existing research-gap systems.</w:t>
      </w:r>
    </w:p>
    <w:p>
      <w:pPr>
        <w:pStyle w:val="ListNumber"/>
      </w:pPr>
      <w:r>
        <w:t>High-level EWRGV architecture.</w:t>
      </w:r>
    </w:p>
    <w:p>
      <w:pPr>
        <w:pStyle w:val="ListNumber"/>
      </w:pPr>
      <w:r>
        <w:t>Candidate gap → evidence expansion → counter-evidence → coverage → evidence scoring → confidence/explanation workflow.</w:t>
      </w:r>
    </w:p>
    <w:p>
      <w:pPr>
        <w:pStyle w:val="ListNumber"/>
      </w:pPr>
      <w:r>
        <w:t>Later implementation progression from basic RAG toward the validation stage.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