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Bundle</w:t>
      </w:r>
    </w:p>
    <w:p>
      <w:pPr>
        <w:jc w:val="center"/>
      </w:pPr>
      <w:r>
        <w:rPr>
          <w:i/>
          <w:sz w:val="22"/>
        </w:rPr>
        <w:t>Consolidated conversation-derived research record</w:t>
      </w:r>
    </w:p>
    <w:p>
      <w:r>
        <w:rPr>
          <w:b/>
        </w:rPr>
        <w:t xml:space="preserve">Source boundary: </w:t>
      </w:r>
      <w:r>
        <w:t>This document is an extraction and organization of material already present in the conversation, including the uploaded HySemRAG.pdf, ResearchRAG_A_Knowledge-Graph-Enhanced_Hybrid_Mult.pdf, and the pasted conversation-summary material. No new research content is intentionally added.</w:t>
      </w:r>
    </w:p>
    <w:p>
      <w:pPr>
        <w:pStyle w:val="Heading1"/>
      </w:pPr>
      <w:r>
        <w:t>1. Research Topic and Direction</w:t>
      </w:r>
    </w:p>
    <w:p>
      <w:r>
        <w:t>RAG-based Research Gap Identification System.</w:t>
      </w:r>
    </w:p>
    <w:p>
      <w:r>
        <w:t>The intended system should help a researcher: retrieve literature → understand literature → identify candidate gaps → validate whether the gap is genuine → explain the evidence.</w:t>
      </w:r>
    </w:p>
    <w:p>
      <w:r>
        <w:t>The proposed direction is Evidence-Weighted Research Gap Validation (EWRGV).</w:t>
      </w:r>
    </w:p>
    <w:p>
      <w:r>
        <w:t>Core distinction: Gap detection ≠ Gap validation.</w:t>
      </w:r>
    </w:p>
    <w:p>
      <w:pPr>
        <w:pStyle w:val="Heading1"/>
      </w:pPr>
      <w:r>
        <w:t>2. The Two Papers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Main focus in the conversation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Critical relevance</w:t>
            </w:r>
          </w:p>
        </w:tc>
      </w:tr>
      <w:tr>
        <w:tc>
          <w:tcPr>
            <w:tcW w:type="dxa" w:w="3312"/>
            <w:vAlign w:val="top"/>
          </w:tcPr>
          <w:p>
            <w:r>
              <w:t>HySemRAG</w:t>
            </w:r>
          </w:p>
        </w:tc>
        <w:tc>
          <w:tcPr>
            <w:tcW w:type="dxa" w:w="3312"/>
            <w:vAlign w:val="top"/>
          </w:tcPr>
          <w:p>
            <w:r>
              <w:t>ETL + hybrid semantic/keyword/KG retrieval + structured extraction + topic modeling + semantic unification + multi-agent QA + citation verification + methodological gap analysis</w:t>
            </w:r>
          </w:p>
        </w:tc>
        <w:tc>
          <w:tcPr>
            <w:tcW w:type="dxa" w:w="3312"/>
            <w:vAlign w:val="top"/>
          </w:tcPr>
          <w:p>
            <w:r>
              <w:t>Shows the breadth of an academic RAG infrastructure and the distinction between citation verification and dedicated gap validation.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ResearchRAG</w:t>
            </w:r>
          </w:p>
        </w:tc>
        <w:tc>
          <w:tcPr>
            <w:tcW w:type="dxa" w:w="3312"/>
            <w:vAlign w:val="top"/>
          </w:tcPr>
          <w:p>
            <w:r>
              <w:t>AKG + hybrid retrieval + multi-agent orchestration + GNN-RGS + CSCG + adaptive research gap discovery</w:t>
            </w:r>
          </w:p>
        </w:tc>
        <w:tc>
          <w:tcPr>
            <w:tcW w:type="dxa" w:w="3312"/>
            <w:vAlign w:val="top"/>
          </w:tcPr>
          <w:p>
            <w:r>
              <w:t>Provides explicit gap scoring and reports 24% spurious gaps caused by corpus incompleteness.</w:t>
            </w:r>
          </w:p>
        </w:tc>
      </w:tr>
    </w:tbl>
    <w:p>
      <w:pPr>
        <w:pStyle w:val="Heading1"/>
      </w:pPr>
      <w:r>
        <w:t>3. HySemRAG — Key Architecture</w:t>
      </w:r>
    </w:p>
    <w:p>
      <w:pPr>
        <w:pStyle w:val="NoSpacing"/>
      </w:pPr>
      <w:r>
        <w:rPr>
          <w:rFonts w:ascii="Consolas" w:hAnsi="Consolas" w:eastAsia="Consolas"/>
          <w:sz w:val="18"/>
        </w:rPr>
        <w:t>Papers / scholarly records</w:t>
        <w:br/>
        <w:t xml:space="preserve">        ↓</w:t>
        <w:br/>
        <w:t>Metadata acquisition</w:t>
        <w:br/>
        <w:t xml:space="preserve">        ↓</w:t>
        <w:br/>
        <w:t>PDF retrieval</w:t>
        <w:br/>
        <w:t xml:space="preserve">        ↓</w:t>
        <w:br/>
        <w:t>Document layout analysis</w:t>
        <w:br/>
        <w:t xml:space="preserve">        ↓</w:t>
        <w:br/>
        <w:t>Bibliographic management</w:t>
        <w:br/>
        <w:t xml:space="preserve">        ↓</w:t>
        <w:br/>
        <w:t>LLM field extraction</w:t>
        <w:br/>
        <w:t xml:space="preserve">        ↓</w:t>
        <w:br/>
        <w:t>Topic modeling</w:t>
        <w:br/>
        <w:t xml:space="preserve">        ↓</w:t>
        <w:br/>
        <w:t>Semantic unification</w:t>
        <w:br/>
        <w:t xml:space="preserve">        ↓</w:t>
        <w:br/>
        <w:t>Neo4j KG + Qdrant vectors</w:t>
        <w:br/>
        <w:t xml:space="preserve">        ↓</w:t>
        <w:br/>
        <w:t>Hybrid retrieval</w:t>
        <w:br/>
        <w:t xml:space="preserve">        ↓</w:t>
        <w:br/>
        <w:t>Generator + QA agent</w:t>
        <w:br/>
        <w:t xml:space="preserve">        ↓</w:t>
        <w:br/>
        <w:t>Post-hoc citation verification</w:t>
        <w:br/>
        <w:t xml:space="preserve">        ↓</w:t>
        <w:br/>
        <w:t>Literature synthesis / methodological gap analysis</w:t>
      </w:r>
    </w:p>
    <w:p>
      <w:pPr>
        <w:pStyle w:val="Heading1"/>
      </w:pPr>
      <w:r>
        <w:t>4. HySemRAG — Important Technical Details</w:t>
      </w:r>
    </w:p>
    <w:p>
      <w:pPr>
        <w:pStyle w:val="ListBullet"/>
      </w:pPr>
      <w:r>
        <w:t>Sources: PubMed, OpenAlex, Scopus.</w:t>
      </w:r>
    </w:p>
    <w:p>
      <w:pPr>
        <w:pStyle w:val="ListBullet"/>
      </w:pPr>
      <w:r>
        <w:t>Initial candidate pool: approximately 3,400 metadata records.</w:t>
      </w:r>
    </w:p>
    <w:p>
      <w:pPr>
        <w:pStyle w:val="ListBullet"/>
      </w:pPr>
      <w:r>
        <w:t>Full-text PDFs typically retrieved: 500–1,300 through Unpaywall.</w:t>
      </w:r>
    </w:p>
    <w:p>
      <w:pPr>
        <w:pStyle w:val="ListBullet"/>
      </w:pPr>
      <w:r>
        <w:t>Docling substantially modified for scholarly PDF processing.</w:t>
      </w:r>
    </w:p>
    <w:p>
      <w:pPr>
        <w:pStyle w:val="ListBullet"/>
      </w:pPr>
      <w:r>
        <w:t>SmolDocling replaces the stated ~30 GB VRAM formula model with ~8 GB requirements.</w:t>
      </w:r>
    </w:p>
    <w:p>
      <w:pPr>
        <w:pStyle w:val="ListBullet"/>
      </w:pPr>
      <w:r>
        <w:t>Structured extraction uses Qwen/Qwen3-32B.</w:t>
      </w:r>
    </w:p>
    <w:p>
      <w:pPr>
        <w:pStyle w:val="ListBullet"/>
      </w:pPr>
      <w:r>
        <w:t>Example extraction chunking: 8,000 tokens with 500-token overlap.</w:t>
      </w:r>
    </w:p>
    <w:p>
      <w:pPr>
        <w:pStyle w:val="ListBullet"/>
      </w:pPr>
      <w:r>
        <w:t>LDA is used for thematic analysis.</w:t>
      </w:r>
    </w:p>
    <w:p>
      <w:pPr>
        <w:pStyle w:val="ListBullet"/>
      </w:pPr>
      <w:r>
        <w:t>Semantic unification uses all-MiniLM-L6-v2, 384-dimensional embeddings, cosine similarity, and an example 0.55 threshold.</w:t>
      </w:r>
    </w:p>
    <w:p>
      <w:pPr>
        <w:pStyle w:val="ListBullet"/>
      </w:pPr>
      <w:r>
        <w:t>Neo4j stores interconnected article/entity/relation data.</w:t>
      </w:r>
    </w:p>
    <w:p>
      <w:pPr>
        <w:pStyle w:val="ListBullet"/>
      </w:pPr>
      <w:r>
        <w:t>Qdrant has PDF-chunk and structured-data collections.</w:t>
      </w:r>
    </w:p>
    <w:p>
      <w:pPr>
        <w:pStyle w:val="ListBullet"/>
      </w:pPr>
      <w:r>
        <w:t>text-embedding-3-large produces 3,072-dimensional vectors.</w:t>
      </w:r>
    </w:p>
    <w:p>
      <w:pPr>
        <w:pStyle w:val="ListBullet"/>
      </w:pPr>
      <w:r>
        <w:t>HySemRAG-QA combines semantic search, keyword search, and Neo4j traversal using RRF.</w:t>
      </w:r>
    </w:p>
    <w:p>
      <w:pPr>
        <w:pStyle w:val="ListBullet"/>
      </w:pPr>
      <w:r>
        <w:t>Generator: Claude Sonnet 4; evaluator: Gemini 2.5 Flash; up to three regeneration cycles.</w:t>
      </w:r>
    </w:p>
    <w:p>
      <w:pPr>
        <w:pStyle w:val="ListBullet"/>
      </w:pPr>
      <w:r>
        <w:t>Citation verification checks DOI/ZoteroKey, document/chunk indices, and content similarity.</w:t>
      </w:r>
    </w:p>
    <w:p>
      <w:pPr>
        <w:pStyle w:val="ListBullet"/>
      </w:pPr>
      <w:r>
        <w:t>VALID ≥ 0.8; POSSIBLY_VALID 0.5–0.8; INVALID &lt; 0.5.</w:t>
      </w:r>
    </w:p>
    <w:p>
      <w:pPr>
        <w:pStyle w:val="Heading1"/>
      </w:pPr>
      <w:r>
        <w:t>5. HySemRAG — Results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top"/>
          </w:tcPr>
          <w:p>
            <w:r>
              <w:t>Observations</w:t>
            </w:r>
          </w:p>
        </w:tc>
        <w:tc>
          <w:tcPr>
            <w:tcW w:type="dxa" w:w="4968"/>
            <w:vAlign w:val="top"/>
          </w:tcPr>
          <w:p>
            <w:r>
              <w:t>643</w:t>
            </w:r>
          </w:p>
        </w:tc>
      </w:tr>
      <w:tr>
        <w:tc>
          <w:tcPr>
            <w:tcW w:type="dxa" w:w="4968"/>
            <w:vAlign w:val="top"/>
          </w:tcPr>
          <w:p>
            <w:r>
              <w:t>Sessions</w:t>
            </w:r>
          </w:p>
        </w:tc>
        <w:tc>
          <w:tcPr>
            <w:tcW w:type="dxa" w:w="4968"/>
            <w:vAlign w:val="top"/>
          </w:tcPr>
          <w:p>
            <w:r>
              <w:t>60</w:t>
            </w:r>
          </w:p>
        </w:tc>
      </w:tr>
      <w:tr>
        <w:tc>
          <w:tcPr>
            <w:tcW w:type="dxa" w:w="4968"/>
            <w:vAlign w:val="top"/>
          </w:tcPr>
          <w:p>
            <w:r>
              <w:t>Structured extraction similarity</w:t>
            </w:r>
          </w:p>
        </w:tc>
        <w:tc>
          <w:tcPr>
            <w:tcW w:type="dxa" w:w="4968"/>
            <w:vAlign w:val="top"/>
          </w:tcPr>
          <w:p>
            <w:r>
              <w:t>0.655 ± 0.178</w:t>
            </w:r>
          </w:p>
        </w:tc>
      </w:tr>
      <w:tr>
        <w:tc>
          <w:tcPr>
            <w:tcW w:type="dxa" w:w="4968"/>
            <w:vAlign w:val="top"/>
          </w:tcPr>
          <w:p>
            <w:r>
              <w:t>PDF chunking similarity</w:t>
            </w:r>
          </w:p>
        </w:tc>
        <w:tc>
          <w:tcPr>
            <w:tcW w:type="dxa" w:w="4968"/>
            <w:vAlign w:val="top"/>
          </w:tcPr>
          <w:p>
            <w:r>
              <w:t>0.485 ± 0.204</w:t>
            </w:r>
          </w:p>
        </w:tc>
      </w:tr>
      <w:tr>
        <w:tc>
          <w:tcPr>
            <w:tcW w:type="dxa" w:w="4968"/>
            <w:vAlign w:val="top"/>
          </w:tcPr>
          <w:p>
            <w:r>
              <w:t>Reported improvement</w:t>
            </w:r>
          </w:p>
        </w:tc>
        <w:tc>
          <w:tcPr>
            <w:tcW w:type="dxa" w:w="4968"/>
            <w:vAlign w:val="top"/>
          </w:tcPr>
          <w:p>
            <w:r>
              <w:t>35.1%</w:t>
            </w:r>
          </w:p>
        </w:tc>
      </w:tr>
      <w:tr>
        <w:tc>
          <w:tcPr>
            <w:tcW w:type="dxa" w:w="4968"/>
            <w:vAlign w:val="top"/>
          </w:tcPr>
          <w:p>
            <w:r>
              <w:t>p-value</w:t>
            </w:r>
          </w:p>
        </w:tc>
        <w:tc>
          <w:tcPr>
            <w:tcW w:type="dxa" w:w="4968"/>
            <w:vAlign w:val="top"/>
          </w:tcPr>
          <w:p>
            <w:r>
              <w:t>&lt; 0.000001</w:t>
            </w:r>
          </w:p>
        </w:tc>
      </w:tr>
      <w:tr>
        <w:tc>
          <w:tcPr>
            <w:tcW w:type="dxa" w:w="4968"/>
            <w:vAlign w:val="top"/>
          </w:tcPr>
          <w:p>
            <w:r>
              <w:t>Single-pass QA success</w:t>
            </w:r>
          </w:p>
        </w:tc>
        <w:tc>
          <w:tcPr>
            <w:tcW w:type="dxa" w:w="4968"/>
            <w:vAlign w:val="top"/>
          </w:tcPr>
          <w:p>
            <w:r>
              <w:t>68.3%</w:t>
            </w:r>
          </w:p>
        </w:tc>
      </w:tr>
      <w:tr>
        <w:tc>
          <w:tcPr>
            <w:tcW w:type="dxa" w:w="4968"/>
            <w:vAlign w:val="top"/>
          </w:tcPr>
          <w:p>
            <w:r>
              <w:t>Average iterations</w:t>
            </w:r>
          </w:p>
        </w:tc>
        <w:tc>
          <w:tcPr>
            <w:tcW w:type="dxa" w:w="4968"/>
            <w:vAlign w:val="top"/>
          </w:tcPr>
          <w:p>
            <w:r>
              <w:t>2.33</w:t>
            </w:r>
          </w:p>
        </w:tc>
      </w:tr>
      <w:tr>
        <w:tc>
          <w:tcPr>
            <w:tcW w:type="dxa" w:w="4968"/>
            <w:vAlign w:val="top"/>
          </w:tcPr>
          <w:p>
            <w:r>
              <w:t>Validated-response acceptance</w:t>
            </w:r>
          </w:p>
        </w:tc>
        <w:tc>
          <w:tcPr>
            <w:tcW w:type="dxa" w:w="4968"/>
            <w:vAlign w:val="top"/>
          </w:tcPr>
          <w:p>
            <w:r>
              <w:t>61.3%</w:t>
            </w:r>
          </w:p>
        </w:tc>
      </w:tr>
      <w:tr>
        <w:tc>
          <w:tcPr>
            <w:tcW w:type="dxa" w:w="4968"/>
            <w:vAlign w:val="top"/>
          </w:tcPr>
          <w:p>
            <w:r>
              <w:t>Citation accuracy</w:t>
            </w:r>
          </w:p>
        </w:tc>
        <w:tc>
          <w:tcPr>
            <w:tcW w:type="dxa" w:w="4968"/>
            <w:vAlign w:val="top"/>
          </w:tcPr>
          <w:p>
            <w:r>
              <w:t>99.0% ± 4.5%</w:t>
            </w:r>
          </w:p>
        </w:tc>
      </w:tr>
      <w:tr>
        <w:tc>
          <w:tcPr>
            <w:tcW w:type="dxa" w:w="4968"/>
            <w:vAlign w:val="top"/>
          </w:tcPr>
          <w:p>
            <w:r>
              <w:t>Vector DB integration</w:t>
            </w:r>
          </w:p>
        </w:tc>
        <w:tc>
          <w:tcPr>
            <w:tcW w:type="dxa" w:w="4968"/>
            <w:vAlign w:val="top"/>
          </w:tcPr>
          <w:p>
            <w:r>
              <w:t>99.6% (242/243)</w:t>
            </w:r>
          </w:p>
        </w:tc>
      </w:tr>
      <w:tr>
        <w:tc>
          <w:tcPr>
            <w:tcW w:type="dxa" w:w="4968"/>
            <w:vAlign w:val="top"/>
          </w:tcPr>
          <w:p>
            <w:r>
              <w:t>Temporal decline</w:t>
            </w:r>
          </w:p>
        </w:tc>
        <w:tc>
          <w:tcPr>
            <w:tcW w:type="dxa" w:w="4968"/>
            <w:vAlign w:val="top"/>
          </w:tcPr>
          <w:p>
            <w:r>
              <w:t>1.9% per day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Complete parsing</w:t>
            </w:r>
          </w:p>
        </w:tc>
        <w:tc>
          <w:tcPr>
            <w:tcW w:type="dxa" w:w="4968"/>
            <w:vAlign w:val="top"/>
          </w:tcPr>
          <w:p>
            <w:r>
              <w:t>80.6%</w:t>
            </w:r>
          </w:p>
        </w:tc>
      </w:tr>
      <w:tr>
        <w:tc>
          <w:tcPr>
            <w:tcW w:type="dxa" w:w="4968"/>
            <w:vAlign w:val="top"/>
          </w:tcPr>
          <w:p>
            <w:r>
              <w:t>Parsing failures</w:t>
            </w:r>
          </w:p>
        </w:tc>
        <w:tc>
          <w:tcPr>
            <w:tcW w:type="dxa" w:w="4968"/>
            <w:vAlign w:val="top"/>
          </w:tcPr>
          <w:p>
            <w:r>
              <w:t>19.4%</w:t>
            </w:r>
          </w:p>
        </w:tc>
      </w:tr>
    </w:tbl>
    <w:p>
      <w:r>
        <w:t>The conversation noted that this was controlled developer testing rather than independent evaluation, and that temporal instability and session heterogeneity were limitations.</w:t>
      </w:r>
    </w:p>
    <w:p>
      <w:pPr>
        <w:pStyle w:val="Heading1"/>
      </w:pPr>
      <w:r>
        <w:t>6. ResearchRAG — Key Architecture</w:t>
      </w:r>
    </w:p>
    <w:p>
      <w:pPr>
        <w:pStyle w:val="NoSpacing"/>
      </w:pPr>
      <w:r>
        <w:rPr>
          <w:rFonts w:ascii="Consolas" w:hAnsi="Consolas" w:eastAsia="Consolas"/>
          <w:sz w:val="18"/>
        </w:rPr>
        <w:t>Academic Papers</w:t>
        <w:br/>
        <w:t xml:space="preserve">      ↓</w:t>
        <w:br/>
        <w:t>Document Ingestion / Indexing</w:t>
        <w:br/>
        <w:t xml:space="preserve">      ↓</w:t>
        <w:br/>
        <w:t>Academic Knowledge Graph</w:t>
        <w:br/>
        <w:t xml:space="preserve">      ↓</w:t>
        <w:br/>
        <w:t>Dense + Sparse Retrieval</w:t>
        <w:br/>
        <w:t xml:space="preserve">      ↓</w:t>
        <w:br/>
        <w:t>RRF</w:t>
        <w:br/>
        <w:t xml:space="preserve">      ↓</w:t>
        <w:br/>
        <w:t>Cross-encoder reranking</w:t>
        <w:br/>
        <w:t xml:space="preserve">      ↓</w:t>
        <w:br/>
        <w:t>KG two-hop augmentation</w:t>
        <w:br/>
        <w:t xml:space="preserve">      ↓</w:t>
        <w:br/>
        <w:t>Multi-Agent Layer</w:t>
        <w:br/>
        <w:t xml:space="preserve"> ┌─────────────┬─────────────┬──────────────┬──────────────┐</w:t>
        <w:br/>
        <w:t xml:space="preserve"> │ QDA         │ LSA         │ GDA          │ CVA          │</w:t>
        <w:br/>
        <w:t xml:space="preserve"> │ Query       │ Literature  │ Gap          │ Citation     │</w:t>
        <w:br/>
        <w:t xml:space="preserve"> │ Decomposition│ Synthesis  │ Detection    │ Verification │</w:t>
        <w:br/>
        <w:t xml:space="preserve"> └─────────────┴─────────────┴──────────────┴──────────────┘</w:t>
        <w:br/>
        <w:t xml:space="preserve">      ↓</w:t>
        <w:br/>
        <w:t>GNN-RGS</w:t>
        <w:br/>
        <w:t xml:space="preserve">      ↓</w:t>
        <w:br/>
        <w:t>CSCG / citation-aware self-correction</w:t>
        <w:br/>
        <w:t xml:space="preserve">      ↓</w:t>
        <w:br/>
        <w:t>Structured output / gap report</w:t>
      </w:r>
    </w:p>
    <w:p>
      <w:pPr>
        <w:pStyle w:val="Heading1"/>
      </w:pPr>
      <w:r>
        <w:t>7. ResearchRAG — Key Technical Details</w:t>
      </w:r>
    </w:p>
    <w:p>
      <w:pPr>
        <w:pStyle w:val="ListBullet"/>
      </w:pPr>
      <w:r>
        <w:t>42,500-paper corpus.</w:t>
      </w:r>
    </w:p>
    <w:p>
      <w:pPr>
        <w:pStyle w:val="ListBullet"/>
      </w:pPr>
      <w:r>
        <w:t>AKG: 1,402,847 nodes and 8,721,563 edges.</w:t>
      </w:r>
    </w:p>
    <w:p>
      <w:pPr>
        <w:pStyle w:val="ListBullet"/>
      </w:pPr>
      <w:r>
        <w:t>SciSpaCy en_core_sci_lg for entity extraction.</w:t>
      </w:r>
    </w:p>
    <w:p>
      <w:pPr>
        <w:pStyle w:val="ListBullet"/>
      </w:pPr>
      <w:r>
        <w:t>CSO and UMLS used for entity canonicalisation.</w:t>
      </w:r>
    </w:p>
    <w:p>
      <w:pPr>
        <w:pStyle w:val="ListBullet"/>
      </w:pPr>
      <w:r>
        <w:t>Neo4j 5.x + GDS 2.6.</w:t>
      </w:r>
    </w:p>
    <w:p>
      <w:pPr>
        <w:pStyle w:val="ListBullet"/>
      </w:pPr>
      <w:r>
        <w:t>Dense retrieval: all-MiniLM-L6-v2 + FAISS IVF4096/PQ64, top-50.</w:t>
      </w:r>
    </w:p>
    <w:p>
      <w:pPr>
        <w:pStyle w:val="ListBullet"/>
      </w:pPr>
      <w:r>
        <w:t>Sparse retrieval: BM25, k1=1.5, b=0.75, top-50.</w:t>
      </w:r>
    </w:p>
    <w:p>
      <w:pPr>
        <w:pStyle w:val="ListBullet"/>
      </w:pPr>
      <w:r>
        <w:t>RRF with 60 in denominator; top-10 fused candidates.</w:t>
      </w:r>
    </w:p>
    <w:p>
      <w:pPr>
        <w:pStyle w:val="ListBullet"/>
      </w:pPr>
      <w:r>
        <w:t>Cross-encoder: ms-marco-MiniLM-L-6-v2.</w:t>
      </w:r>
    </w:p>
    <w:p>
      <w:pPr>
        <w:pStyle w:val="ListBullet"/>
      </w:pPr>
      <w:r>
        <w:t>KG augmentation: two-hop traversal, θKG=0.35.</w:t>
      </w:r>
    </w:p>
    <w:p>
      <w:pPr>
        <w:pStyle w:val="ListBullet"/>
      </w:pPr>
      <w:r>
        <w:t>Four LangChain ReAct agents: QDA, LSA, GDA, CVA.</w:t>
      </w:r>
    </w:p>
    <w:p>
      <w:pPr>
        <w:pStyle w:val="ListBullet"/>
      </w:pPr>
      <w:r>
        <w:t>GAT: 2 layers, 8 heads, hidden dimension 128, trained on 1,200 manually annotated concept clusters.</w:t>
      </w:r>
    </w:p>
    <w:p>
      <w:pPr>
        <w:pStyle w:val="ListBullet"/>
      </w:pPr>
      <w:r>
        <w:t>GapScore = α(1−ρ̂) + βτ + γη, with α=0.45, β=0.35, γ=0.20.</w:t>
      </w:r>
    </w:p>
    <w:p>
      <w:pPr>
        <w:pStyle w:val="ListBullet"/>
      </w:pPr>
      <w:r>
        <w:t>Reported Spearman ρ=0.71 vs 0.48 heuristic.</w:t>
      </w:r>
    </w:p>
    <w:p>
      <w:pPr>
        <w:pStyle w:val="ListBullet"/>
      </w:pPr>
      <w:r>
        <w:t>CSCG: maximum 3 iterations and [UNCERTAIN] for unresolved claims.</w:t>
      </w:r>
    </w:p>
    <w:p>
      <w:pPr>
        <w:pStyle w:val="Heading1"/>
      </w:pPr>
      <w:r>
        <w:t>8. ResearchRAG — Results, Ablation, and Failure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Reported value</w:t>
            </w:r>
          </w:p>
        </w:tc>
      </w:tr>
      <w:tr>
        <w:tc>
          <w:tcPr>
            <w:tcW w:type="dxa" w:w="4968"/>
            <w:vAlign w:val="top"/>
          </w:tcPr>
          <w:p>
            <w:r>
              <w:t>P@10</w:t>
            </w:r>
          </w:p>
        </w:tc>
        <w:tc>
          <w:tcPr>
            <w:tcW w:type="dxa" w:w="4968"/>
            <w:vAlign w:val="top"/>
          </w:tcPr>
          <w:p>
            <w:r>
              <w:t>0.831</w:t>
            </w:r>
          </w:p>
        </w:tc>
      </w:tr>
      <w:tr>
        <w:tc>
          <w:tcPr>
            <w:tcW w:type="dxa" w:w="4968"/>
            <w:vAlign w:val="top"/>
          </w:tcPr>
          <w:p>
            <w:r>
              <w:t>R@10</w:t>
            </w:r>
          </w:p>
        </w:tc>
        <w:tc>
          <w:tcPr>
            <w:tcW w:type="dxa" w:w="4968"/>
            <w:vAlign w:val="top"/>
          </w:tcPr>
          <w:p>
            <w:r>
              <w:t>0.709</w:t>
            </w:r>
          </w:p>
        </w:tc>
      </w:tr>
      <w:tr>
        <w:tc>
          <w:tcPr>
            <w:tcW w:type="dxa" w:w="4968"/>
            <w:vAlign w:val="top"/>
          </w:tcPr>
          <w:p>
            <w:r>
              <w:t>MRR</w:t>
            </w:r>
          </w:p>
        </w:tc>
        <w:tc>
          <w:tcPr>
            <w:tcW w:type="dxa" w:w="4968"/>
            <w:vAlign w:val="top"/>
          </w:tcPr>
          <w:p>
            <w:r>
              <w:t>0.774</w:t>
            </w:r>
          </w:p>
        </w:tc>
      </w:tr>
      <w:tr>
        <w:tc>
          <w:tcPr>
            <w:tcW w:type="dxa" w:w="4968"/>
            <w:vAlign w:val="top"/>
          </w:tcPr>
          <w:p>
            <w:r>
              <w:t>NDCG@10</w:t>
            </w:r>
          </w:p>
        </w:tc>
        <w:tc>
          <w:tcPr>
            <w:tcW w:type="dxa" w:w="4968"/>
            <w:vAlign w:val="top"/>
          </w:tcPr>
          <w:p>
            <w:r>
              <w:t>0.748</w:t>
            </w:r>
          </w:p>
        </w:tc>
      </w:tr>
      <w:tr>
        <w:tc>
          <w:tcPr>
            <w:tcW w:type="dxa" w:w="4968"/>
            <w:vAlign w:val="top"/>
          </w:tcPr>
          <w:p>
            <w:r>
              <w:t>BERTScore F1</w:t>
            </w:r>
          </w:p>
        </w:tc>
        <w:tc>
          <w:tcPr>
            <w:tcW w:type="dxa" w:w="4968"/>
            <w:vAlign w:val="top"/>
          </w:tcPr>
          <w:p>
            <w:r>
              <w:t>0.871</w:t>
            </w:r>
          </w:p>
        </w:tc>
      </w:tr>
      <w:tr>
        <w:tc>
          <w:tcPr>
            <w:tcW w:type="dxa" w:w="4968"/>
            <w:vAlign w:val="top"/>
          </w:tcPr>
          <w:p>
            <w:r>
              <w:t>Hallucination rate</w:t>
            </w:r>
          </w:p>
        </w:tc>
        <w:tc>
          <w:tcPr>
            <w:tcW w:type="dxa" w:w="4968"/>
            <w:vAlign w:val="top"/>
          </w:tcPr>
          <w:p>
            <w:r>
              <w:t>0.078</w:t>
            </w:r>
          </w:p>
        </w:tc>
      </w:tr>
      <w:tr>
        <w:tc>
          <w:tcPr>
            <w:tcW w:type="dxa" w:w="4968"/>
            <w:vAlign w:val="top"/>
          </w:tcPr>
          <w:p>
            <w:r>
              <w:t>Relative hallucination reduction</w:t>
            </w:r>
          </w:p>
        </w:tc>
        <w:tc>
          <w:tcPr>
            <w:tcW w:type="dxa" w:w="4968"/>
            <w:vAlign w:val="top"/>
          </w:tcPr>
          <w:p>
            <w:r>
              <w:t>58.3%</w:t>
            </w:r>
          </w:p>
        </w:tc>
      </w:tr>
      <w:tr>
        <w:tc>
          <w:tcPr>
            <w:tcW w:type="dxa" w:w="4968"/>
            <w:vAlign w:val="top"/>
          </w:tcPr>
          <w:p>
            <w:r>
              <w:t>Gap expert composite</w:t>
            </w:r>
          </w:p>
        </w:tc>
        <w:tc>
          <w:tcPr>
            <w:tcW w:type="dxa" w:w="4968"/>
            <w:vAlign w:val="top"/>
          </w:tcPr>
          <w:p>
            <w:r>
              <w:t>4.04</w:t>
            </w:r>
          </w:p>
        </w:tc>
      </w:tr>
      <w:tr>
        <w:tc>
          <w:tcPr>
            <w:tcW w:type="dxa" w:w="4968"/>
            <w:vAlign w:val="top"/>
          </w:tcPr>
          <w:p>
            <w:r>
              <w:t>Gap Spearman ρ</w:t>
            </w:r>
          </w:p>
        </w:tc>
        <w:tc>
          <w:tcPr>
            <w:tcW w:type="dxa" w:w="4968"/>
            <w:vAlign w:val="top"/>
          </w:tcPr>
          <w:p>
            <w:r>
              <w:t>0.71</w:t>
            </w:r>
          </w:p>
        </w:tc>
      </w:tr>
    </w:tbl>
    <w:p>
      <w:pPr>
        <w:pStyle w:val="ListBullet"/>
      </w:pPr>
      <w:r>
        <w:t>Spurious gaps: 12/50 (24%) due to corpus incompleteness.</w:t>
      </w:r>
    </w:p>
    <w:p>
      <w:pPr>
        <w:pStyle w:val="ListBullet"/>
      </w:pPr>
      <w:r>
        <w:t>Overly generic gap statements: 9/50 (18%).</w:t>
      </w:r>
    </w:p>
    <w:p>
      <w:pPr>
        <w:pStyle w:val="ListBullet"/>
      </w:pPr>
      <w:r>
        <w:t>Vocabulary mismatch: 14/150 (9.3%).</w:t>
      </w:r>
    </w:p>
    <w:p>
      <w:pPr>
        <w:pStyle w:val="ListBullet"/>
      </w:pPr>
      <w:r>
        <w:t>False-positive KG expansions: 7/150 (4.7%).</w:t>
      </w:r>
    </w:p>
    <w:p>
      <w:pPr>
        <w:pStyle w:val="ListBullet"/>
      </w:pPr>
      <w:r>
        <w:t>Post-CSCG flagged sentences: 912/11,700 (7.8%).</w:t>
      </w:r>
    </w:p>
    <w:p>
      <w:pPr>
        <w:pStyle w:val="ListBullet"/>
      </w:pPr>
      <w:r>
        <w:t>Latency &gt;20s: 31/150 (20.7%).</w:t>
      </w:r>
    </w:p>
    <w:p>
      <w:pPr>
        <w:pStyle w:val="ListBullet"/>
      </w:pPr>
      <w:r>
        <w:t>Mean end-to-end latency: 18.7s versus 2.3s for Standard RAG.</w:t>
      </w:r>
    </w:p>
    <w:p>
      <w:pPr>
        <w:pStyle w:val="ListBullet"/>
      </w:pPr>
      <w:r>
        <w:t>AKG construction: 4.2 hours and 18 GB Neo4j for the reported corpus.</w:t>
      </w:r>
    </w:p>
    <w:p>
      <w:pPr>
        <w:pStyle w:val="ListBullet"/>
      </w:pPr>
      <w:r>
        <w:t>Limitations include GAT generalisation, English-only corpus, no prospective user study, corpus bias, residual hallucination, and spurious gaps.</w:t>
      </w:r>
    </w:p>
    <w:p>
      <w:pPr>
        <w:pStyle w:val="Heading1"/>
      </w:pPr>
      <w:r>
        <w:t>9. The Critical Distinction for EWRGV</w:t>
      </w:r>
    </w:p>
    <w:p>
      <w:pPr>
        <w:pStyle w:val="NoSpacing"/>
      </w:pPr>
      <w:r>
        <w:rPr>
          <w:rFonts w:ascii="Consolas" w:hAnsi="Consolas" w:eastAsia="Consolas"/>
          <w:sz w:val="18"/>
        </w:rPr>
        <w:t>ResearchRAG CSCG:</w:t>
        <w:br/>
        <w:t>Generated claim</w:t>
        <w:br/>
        <w:t xml:space="preserve">      ↓</w:t>
        <w:br/>
        <w:t>Does retrieved evidence support it?</w:t>
        <w:br/>
        <w:t xml:space="preserve">      ↓</w:t>
        <w:br/>
        <w:t>If not → re-retrieve</w:t>
        <w:br/>
        <w:t xml:space="preserve">      ↓</w:t>
        <w:br/>
        <w:t>Still unsupported → [UNCERTAIN]</w:t>
        <w:br/>
        <w:br/>
        <w:t>EWRGV:</w:t>
        <w:br/>
        <w:t>Candidate research gap</w:t>
        <w:br/>
        <w:t xml:space="preserve">      ↓</w:t>
        <w:br/>
        <w:t>Does the gap survive deliberate evidence expansion?</w:t>
        <w:br/>
        <w:t xml:space="preserve">      ↓</w:t>
        <w:br/>
        <w:t>Search supporting evidence</w:t>
        <w:br/>
        <w:t>+</w:t>
        <w:br/>
        <w:t>Search counter-evidence</w:t>
        <w:br/>
        <w:t>+</w:t>
        <w:br/>
        <w:t>Check coverage / uncertainty</w:t>
        <w:br/>
        <w:t xml:space="preserve">      ↓</w:t>
        <w:br/>
        <w:t>Gap confidence</w:t>
        <w:br/>
        <w:t xml:space="preserve">      ↓</w:t>
        <w:br/>
        <w:t>Valid / Uncertain / Unsupported</w:t>
      </w:r>
    </w:p>
    <w:p>
      <w:r>
        <w:t>The conversation explicitly stated that ResearchRAG's CSCG verifies whether generated claims are supported by retrieved passages; it does not specifically establish whether the research gap itself is genuine.</w:t>
      </w:r>
    </w:p>
    <w:p>
      <w:pPr>
        <w:pStyle w:val="Heading1"/>
      </w:pPr>
      <w:r>
        <w:t>10. Current Novelty Statement</w:t>
      </w:r>
    </w:p>
    <w:p>
      <w:r>
        <w:t>Existing RAG-based research-gap systems primarily identify candidate gaps from retrieved literature, graph structure, knowledge density, or novelty signals. However, they can produce false-positive gaps when relevant literature is missed or when corpus incompleteness is mistaken for absence of research. We propose Evidence-Weighted Research Gap Validation (EWRGV), a dedicated post-detection validation stage that performs evidence expansion and evaluates the quality and coverage of supporting literature before accepting a candidate gap. The system produces an evidence-backed confidence score and explanation, improving the reliability and interpretability of automated research-gap identification.</w:t>
      </w:r>
    </w:p>
    <w:p>
      <w:pPr>
        <w:pStyle w:val="Heading1"/>
      </w:pPr>
      <w:r>
        <w:t>11. Research Questions</w:t>
      </w:r>
    </w:p>
    <w:p>
      <w:pPr>
        <w:pStyle w:val="ListBullet"/>
      </w:pPr>
      <w:r>
        <w:t>RQ: How can an RAG-based system validate whether an automatically identified research gap is genuinely unsupported by existing literature rather than being an artifact of incomplete retrieval or corpus coverage?</w:t>
      </w:r>
    </w:p>
    <w:p>
      <w:pPr>
        <w:pStyle w:val="ListBullet"/>
      </w:pPr>
      <w:r>
        <w:t>RQ1: Can evidence expansion reduce false-positive research gaps?</w:t>
      </w:r>
    </w:p>
    <w:p>
      <w:pPr>
        <w:pStyle w:val="ListBullet"/>
      </w:pPr>
      <w:r>
        <w:t>RQ2: Can evidence-weighting improve the reliability of gap confidence estimates?</w:t>
      </w:r>
    </w:p>
    <w:p>
      <w:pPr>
        <w:pStyle w:val="ListBullet"/>
      </w:pPr>
      <w:r>
        <w:t>RQ3: Does explicit gap validation improve expert agreement with automatically identified gaps?</w:t>
      </w:r>
    </w:p>
    <w:p>
      <w:pPr>
        <w:pStyle w:val="ListBullet"/>
      </w:pPr>
      <w:r>
        <w:t>RQ4: Which evidence signals are most useful for distinguishing genuine gaps from false gaps?</w:t>
      </w:r>
    </w:p>
    <w:p>
      <w:pPr>
        <w:pStyle w:val="Heading1"/>
      </w:pPr>
      <w:r>
        <w:t>12. High-Level EWRGV Methodology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                Research Question</w:t>
        <w:br/>
        <w:t xml:space="preserve">                           ↓</w:t>
        <w:br/>
        <w:t xml:space="preserve">                    Query Expansion</w:t>
        <w:br/>
        <w:t xml:space="preserve">                           ↓</w:t>
        <w:br/>
        <w:t xml:space="preserve">                 Literature Retrieval</w:t>
        <w:br/>
        <w:t xml:space="preserve">                           ↓</w:t>
        <w:br/>
        <w:t xml:space="preserve">              ┌────────────┴────────────┐</w:t>
        <w:br/>
        <w:t xml:space="preserve">              ↓                         ↓</w:t>
        <w:br/>
        <w:t xml:space="preserve">        Semantic Search              BM25</w:t>
        <w:br/>
        <w:t xml:space="preserve">              ↓                         ↓</w:t>
        <w:br/>
        <w:t xml:space="preserve">              └────────────┬────────────┘</w:t>
        <w:br/>
        <w:t xml:space="preserve">                           ↓</w:t>
        <w:br/>
        <w:t xml:space="preserve">                      Reranking</w:t>
        <w:br/>
        <w:t xml:space="preserve">                           ↓</w:t>
        <w:br/>
        <w:t xml:space="preserve">                  Evidence Collection</w:t>
        <w:br/>
        <w:t xml:space="preserve">                           ↓</w:t>
        <w:br/>
        <w:t xml:space="preserve">                 Gap Identification</w:t>
        <w:br/>
        <w:t xml:space="preserve">                           ↓</w:t>
        <w:br/>
        <w:t xml:space="preserve">                Candidate Research Gap</w:t>
        <w:br/>
        <w:t xml:space="preserve">                           ↓</w:t>
        <w:br/>
        <w:t xml:space="preserve">                ┌──────────────────────┐</w:t>
        <w:br/>
        <w:t xml:space="preserve">                │ EWRGV VALIDATOR      │</w:t>
        <w:br/>
        <w:t xml:space="preserve">                │                      │</w:t>
        <w:br/>
        <w:t xml:space="preserve">                │ Evidence Search      │</w:t>
        <w:br/>
        <w:t xml:space="preserve">                │ Counter Search       │</w:t>
        <w:br/>
        <w:t xml:space="preserve">                │ Missing Evidence     │</w:t>
        <w:br/>
        <w:t xml:space="preserve">                │ Contradiction        │</w:t>
        <w:br/>
        <w:t xml:space="preserve">                │ Coverage Analysis    │</w:t>
        <w:br/>
        <w:t xml:space="preserve">                └──────────┬───────────┘</w:t>
        <w:br/>
        <w:t xml:space="preserve">                           ↓</w:t>
        <w:br/>
        <w:t xml:space="preserve">                    Evidence Scoring</w:t>
        <w:br/>
        <w:t xml:space="preserve">                           ↓</w:t>
        <w:br/>
        <w:t xml:space="preserve">                  Gap Confidence Score</w:t>
        <w:br/>
        <w:t xml:space="preserve">                           ↓</w:t>
        <w:br/>
        <w:t xml:space="preserve">          ┌────────────────┼────────────────┐</w:t>
        <w:br/>
        <w:t xml:space="preserve">          ↓                ↓                ↓</w:t>
        <w:br/>
        <w:t xml:space="preserve">       Valid Gap      Uncertain Gap    Unsupported</w:t>
      </w:r>
    </w:p>
    <w:p>
      <w:pPr>
        <w:pStyle w:val="Heading1"/>
      </w:pPr>
      <w:r>
        <w:t>13. Five-Module Initial Version</w:t>
      </w:r>
    </w:p>
    <w:p>
      <w:pPr>
        <w:pStyle w:val="NoSpacing"/>
      </w:pPr>
      <w:r>
        <w:rPr>
          <w:rFonts w:ascii="Consolas" w:hAnsi="Consolas" w:eastAsia="Consolas"/>
          <w:sz w:val="18"/>
        </w:rPr>
        <w:t>Literature Collection</w:t>
        <w:br/>
        <w:t xml:space="preserve">        ↓</w:t>
        <w:br/>
        <w:t>Hybrid Retrieval</w:t>
        <w:br/>
        <w:t xml:space="preserve">        ↓</w:t>
        <w:br/>
        <w:t>Gap Identification</w:t>
        <w:br/>
        <w:t xml:space="preserve">        ↓</w:t>
        <w:br/>
        <w:t>Evidence-Weighted Validation</w:t>
        <w:br/>
        <w:t xml:space="preserve">        ↓</w:t>
        <w:br/>
        <w:t>Gap Confidence + Explanation</w:t>
      </w:r>
    </w:p>
    <w:p>
      <w:pPr>
        <w:pStyle w:val="Heading1"/>
      </w:pPr>
      <w:r>
        <w:t>14. Evidence Categories and Explainability</w:t>
      </w:r>
    </w:p>
    <w:p>
      <w:pPr>
        <w:pStyle w:val="NoSpacing"/>
      </w:pPr>
      <w:r>
        <w:rPr>
          <w:rFonts w:ascii="Consolas" w:hAnsi="Consolas" w:eastAsia="Consolas"/>
          <w:sz w:val="18"/>
        </w:rPr>
        <w:t>Supporting evidence</w:t>
        <w:br/>
        <w:t>Counter-evidence</w:t>
        <w:br/>
        <w:t>Partial evidence</w:t>
        <w:br/>
        <w:t>Contradictory evidence</w:t>
        <w:br/>
        <w:t>Insufficient evidence</w:t>
      </w:r>
    </w:p>
    <w:p>
      <w:pPr>
        <w:pStyle w:val="NoSpacing"/>
      </w:pPr>
      <w:r>
        <w:rPr>
          <w:rFonts w:ascii="Consolas" w:hAnsi="Consolas" w:eastAsia="Consolas"/>
          <w:sz w:val="18"/>
        </w:rPr>
        <w:t>Research Gap</w:t>
        <w:br/>
        <w:t xml:space="preserve">     ↓</w:t>
        <w:br/>
        <w:t>Supporting papers</w:t>
        <w:br/>
        <w:t xml:space="preserve">     ↓</w:t>
        <w:br/>
        <w:t>Contradicting papers</w:t>
        <w:br/>
        <w:t xml:space="preserve">     ↓</w:t>
        <w:br/>
        <w:t>Missing experiments</w:t>
        <w:br/>
        <w:t xml:space="preserve">     ↓</w:t>
        <w:br/>
        <w:t>Future-work statements</w:t>
        <w:br/>
        <w:t xml:space="preserve">     ↓</w:t>
        <w:br/>
        <w:t>Evidence quality</w:t>
        <w:br/>
        <w:t xml:space="preserve">     ↓</w:t>
        <w:br/>
        <w:t>Confidence</w:t>
      </w:r>
    </w:p>
    <w:p>
      <w:pPr>
        <w:pStyle w:val="Heading1"/>
      </w:pPr>
      <w:r>
        <w:t>15. Gap Confidence Concept</w:t>
      </w:r>
    </w:p>
    <w:p>
      <w:pPr>
        <w:pStyle w:val="NoSpacing"/>
      </w:pPr>
      <w:r>
        <w:rPr>
          <w:rFonts w:ascii="Consolas" w:hAnsi="Consolas" w:eastAsia="Consolas"/>
          <w:sz w:val="18"/>
        </w:rPr>
        <w:t>Gap Confidence =</w:t>
        <w:br/>
        <w:t xml:space="preserve">    supporting evidence</w:t>
        <w:br/>
        <w:t xml:space="preserve">    +</w:t>
        <w:br/>
        <w:t xml:space="preserve">    literature coverage</w:t>
        <w:br/>
        <w:t xml:space="preserve">    +</w:t>
        <w:br/>
        <w:t xml:space="preserve">    consistency</w:t>
        <w:br/>
        <w:t xml:space="preserve">    +</w:t>
        <w:br/>
        <w:t xml:space="preserve">    temporal relevance</w:t>
        <w:br/>
        <w:t xml:space="preserve">    -</w:t>
        <w:br/>
        <w:t xml:space="preserve">    counter-evidence</w:t>
        <w:br/>
        <w:t xml:space="preserve">    -</w:t>
        <w:br/>
        <w:t xml:space="preserve">    corpus uncertainty</w:t>
      </w:r>
    </w:p>
    <w:p>
      <w:r>
        <w:t>The conversation explicitly stated that the final equation should not be fixed yet and should be informed by the literature survey.</w:t>
      </w:r>
    </w:p>
    <w:p>
      <w:pPr>
        <w:pStyle w:val="Heading1"/>
      </w:pPr>
      <w:r>
        <w:t>16. Literature Survey and Learning Plan</w:t>
      </w:r>
    </w:p>
    <w:p>
      <w:pPr>
        <w:pStyle w:val="NoSpacing"/>
      </w:pPr>
      <w:r>
        <w:rPr>
          <w:rFonts w:ascii="Consolas" w:hAnsi="Consolas" w:eastAsia="Consolas"/>
          <w:sz w:val="18"/>
        </w:rPr>
        <w:t>LLM fundamentals</w:t>
        <w:br/>
        <w:t xml:space="preserve">      ↓</w:t>
        <w:br/>
        <w:t>Embeddings + vector search</w:t>
        <w:br/>
        <w:t xml:space="preserve">      ↓</w:t>
        <w:br/>
        <w:t>Basic RAG</w:t>
        <w:br/>
        <w:t xml:space="preserve">      ↓</w:t>
        <w:br/>
        <w:t>BM25 / dense / hybrid / reranking</w:t>
        <w:br/>
        <w:t xml:space="preserve">      ↓</w:t>
        <w:br/>
        <w:t>Self-RAG / CRAG / GraphRAG / Agentic RAG / RAPTOR</w:t>
        <w:br/>
        <w:t xml:space="preserve">      ↓</w:t>
        <w:br/>
        <w:t>Knowledge graphs</w:t>
        <w:br/>
        <w:t xml:space="preserve">      ↓</w:t>
        <w:br/>
        <w:t>Multi-agent RAG</w:t>
        <w:br/>
        <w:t xml:space="preserve">      ↓</w:t>
        <w:br/>
        <w:t>Academic literature analysis</w:t>
        <w:br/>
        <w:t xml:space="preserve">      ↓</w:t>
        <w:br/>
        <w:t>Research-gap identification</w:t>
        <w:br/>
        <w:t xml:space="preserve">      ↓</w:t>
        <w:br/>
        <w:t>Research-gap validation</w:t>
        <w:br/>
        <w:t xml:space="preserve">      ↓</w:t>
        <w:br/>
        <w:t>EWRGV</w:t>
      </w:r>
    </w:p>
    <w:p>
      <w:pPr>
        <w:pStyle w:val="Heading1"/>
      </w:pPr>
      <w:r>
        <w:t>17. Beginner Implementation Progression</w:t>
      </w:r>
    </w:p>
    <w:p>
      <w:pPr>
        <w:pStyle w:val="NoSpacing"/>
      </w:pPr>
      <w:r>
        <w:rPr>
          <w:rFonts w:ascii="Consolas" w:hAnsi="Consolas" w:eastAsia="Consolas"/>
          <w:sz w:val="18"/>
        </w:rPr>
        <w:t>5–20 papers</w:t>
        <w:br/>
        <w:t xml:space="preserve">     ↓</w:t>
        <w:br/>
        <w:t>PDF/text extraction</w:t>
        <w:br/>
        <w:t xml:space="preserve">     ↓</w:t>
        <w:br/>
        <w:t>Chunking</w:t>
        <w:br/>
        <w:t xml:space="preserve">     ↓</w:t>
        <w:br/>
        <w:t>Embeddings</w:t>
        <w:br/>
        <w:t xml:space="preserve">     ↓</w:t>
        <w:br/>
        <w:t>Vector DB</w:t>
        <w:br/>
        <w:t xml:space="preserve">     ↓</w:t>
        <w:br/>
        <w:t>Retrieval</w:t>
        <w:br/>
        <w:t xml:space="preserve">     ↓</w:t>
        <w:br/>
        <w:t>LLM</w:t>
        <w:br/>
        <w:t xml:space="preserve">     ↓</w:t>
        <w:br/>
        <w:t>Answer with citations</w:t>
        <w:br/>
        <w:br/>
        <w:t>Basic RAG</w:t>
        <w:br/>
        <w:t xml:space="preserve">   ↓</w:t>
        <w:br/>
        <w:t>BM25</w:t>
        <w:br/>
        <w:t xml:space="preserve">   ↓</w:t>
        <w:br/>
        <w:t>Hybrid RAG</w:t>
        <w:br/>
        <w:t xml:space="preserve">   ↓</w:t>
        <w:br/>
        <w:t>Reranking</w:t>
        <w:br/>
        <w:t xml:space="preserve">   ↓</w:t>
        <w:br/>
        <w:t>Candidate gap generation</w:t>
        <w:br/>
        <w:t xml:space="preserve">   ↓</w:t>
        <w:br/>
        <w:t>Verification searches</w:t>
        <w:br/>
        <w:t xml:space="preserve">   ↓</w:t>
        <w:br/>
        <w:t>Evidence analysis</w:t>
        <w:br/>
        <w:t xml:space="preserve">   ↓</w:t>
        <w:br/>
        <w:t>Confidence</w:t>
      </w:r>
    </w:p>
    <w:p>
      <w:r>
        <w:t>The conversation explicitly advised against initially building Neo4j, GNN, LangGraph, multi-agent architecture, fine-tuning, complex GraphRAG, distributed GPU processing, or custom PDF parsing.</w:t>
      </w:r>
    </w:p>
    <w:p>
      <w:pPr>
        <w:pStyle w:val="Heading1"/>
      </w:pPr>
      <w:r>
        <w:t>18. Literature Survey Deliverables</w:t>
      </w:r>
    </w:p>
    <w:p>
      <w:pPr>
        <w:pStyle w:val="ListNumber"/>
      </w:pPr>
      <w:r>
        <w:t>Technology map.</w:t>
      </w:r>
    </w:p>
    <w:p>
      <w:pPr>
        <w:pStyle w:val="ListNumber"/>
      </w:pPr>
      <w:r>
        <w:t>Research-gap-system comparison.</w:t>
      </w:r>
    </w:p>
    <w:p>
      <w:pPr>
        <w:pStyle w:val="ListNumber"/>
      </w:pPr>
      <w:r>
        <w:t>Research gap in the literature leading to the EWRGV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Retrieval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KG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Agents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Gap Detection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rPr>
                <w:b/>
              </w:rPr>
              <w:t>Counter-search</w:t>
            </w:r>
          </w:p>
        </w:tc>
      </w:tr>
      <w:tr>
        <w:tc>
          <w:tcPr>
            <w:tcW w:type="dxa" w:w="1419"/>
            <w:vAlign w:val="top"/>
          </w:tcPr>
          <w:p>
            <w:r>
              <w:t>Standard 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GraphRAG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Partial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HySemRAG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Citation</w:t>
            </w:r>
          </w:p>
        </w:tc>
        <w:tc>
          <w:tcPr>
            <w:tcW w:type="dxa" w:w="1419"/>
            <w:vAlign w:val="top"/>
          </w:tcPr>
          <w:p>
            <w:r>
              <w:t>✗</w:t>
            </w:r>
          </w:p>
        </w:tc>
      </w:tr>
      <w:tr>
        <w:tc>
          <w:tcPr>
            <w:tcW w:type="dxa" w:w="1419"/>
            <w:vAlign w:val="top"/>
          </w:tcPr>
          <w:p>
            <w:r>
              <w:t>ResearchRAG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Citation/self-correction</w:t>
            </w:r>
          </w:p>
        </w:tc>
        <w:tc>
          <w:tcPr>
            <w:tcW w:type="dxa" w:w="1419"/>
            <w:vAlign w:val="top"/>
          </w:tcPr>
          <w:p>
            <w:r>
              <w:t>Not explicit</w:t>
            </w:r>
          </w:p>
        </w:tc>
      </w:tr>
      <w:tr>
        <w:tc>
          <w:tcPr>
            <w:tcW w:type="dxa" w:w="1419"/>
            <w:vAlign w:val="top"/>
          </w:tcPr>
          <w:p>
            <w:r>
              <w:t>EWRGV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Optional</w:t>
            </w:r>
          </w:p>
        </w:tc>
        <w:tc>
          <w:tcPr>
            <w:tcW w:type="dxa" w:w="1419"/>
            <w:vAlign w:val="top"/>
          </w:tcPr>
          <w:p>
            <w:r>
              <w:t>Optional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  <w:tc>
          <w:tcPr>
            <w:tcW w:type="dxa" w:w="1419"/>
            <w:vAlign w:val="top"/>
          </w:tcPr>
          <w:p>
            <w:r>
              <w:t>Evidence validation</w:t>
            </w:r>
          </w:p>
        </w:tc>
        <w:tc>
          <w:tcPr>
            <w:tcW w:type="dxa" w:w="1419"/>
            <w:vAlign w:val="top"/>
          </w:tcPr>
          <w:p>
            <w:r>
              <w:t>✓</w:t>
            </w:r>
          </w:p>
        </w:tc>
      </w:tr>
    </w:tbl>
    <w:p>
      <w:pPr>
        <w:pStyle w:val="Heading1"/>
      </w:pPr>
      <w:r>
        <w:t>19. Final Positioning Recorded in the Conversation</w:t>
      </w:r>
    </w:p>
    <w:p>
      <w:r>
        <w:t>The conversation explicitly advised not to position the project simply as 'a better RAG' or as 'RAG + Knowledge Graph + Agents.' The stronger positioning recorded was: addressing the reliability problem in automated research-gap identification.</w:t>
      </w:r>
    </w:p>
    <w:p>
      <w:r>
        <w:t>The concise formulation developed in the conversation was: 'Detection tells us that a gap might exist. Validation determines whether we should believe it.'</w:t>
      </w:r>
    </w:p>
    <w:p>
      <w:pPr>
        <w:pStyle w:val="Heading1"/>
      </w:pPr>
      <w:r>
        <w:t>20. Source Scope / Status Note</w:t>
      </w:r>
    </w:p>
    <w:p>
      <w:r>
        <w:t>This Bundle is a consolidation of the relevant material already present in the conversation. It includes the uploaded paper content and the conversation's prior organization/analysis of those papers, plus the literature-survey and methodology planning that was already discussed. It does not intentionally introduce external research or new methodology beyond that material.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