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Project Design Phase Proposed</w:t>
      </w:r>
      <w:r>
        <w:rPr>
          <w:spacing w:val="-17"/>
        </w:rPr>
        <w:t> </w:t>
      </w:r>
      <w:r>
        <w:rPr/>
        <w:t>Solution</w:t>
      </w:r>
      <w:r>
        <w:rPr>
          <w:spacing w:val="-16"/>
        </w:rPr>
        <w:t> </w:t>
      </w:r>
      <w:r>
        <w:rPr/>
        <w:t>Template</w:t>
      </w:r>
    </w:p>
    <w:p>
      <w:pPr>
        <w:pStyle w:val="BodyText"/>
        <w:rPr>
          <w:b/>
          <w:sz w:val="17"/>
        </w:rPr>
      </w:pPr>
    </w:p>
    <w:tbl>
      <w:tblPr>
        <w:tblW w:w="0" w:type="auto"/>
        <w:jc w:val="left"/>
        <w:tblInd w:w="291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0"/>
        <w:gridCol w:w="7240"/>
      </w:tblGrid>
      <w:tr>
        <w:trPr>
          <w:trHeight w:val="472" w:hRule="atLeast"/>
        </w:trPr>
        <w:tc>
          <w:tcPr>
            <w:tcW w:w="3000" w:type="dxa"/>
          </w:tcPr>
          <w:p>
            <w:pPr>
              <w:pStyle w:val="TableParagraph"/>
              <w:spacing w:before="120"/>
              <w:ind w:left="12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7240" w:type="dxa"/>
          </w:tcPr>
          <w:p>
            <w:pPr>
              <w:pStyle w:val="TableParagraph"/>
              <w:spacing w:before="120"/>
              <w:ind w:left="120"/>
              <w:rPr>
                <w:sz w:val="20"/>
              </w:rPr>
            </w:pPr>
            <w:r>
              <w:rPr>
                <w:sz w:val="20"/>
              </w:rPr>
              <w:t>28 September </w:t>
            </w:r>
            <w:r>
              <w:rPr>
                <w:spacing w:val="-4"/>
                <w:sz w:val="20"/>
              </w:rPr>
              <w:t>2026</w:t>
            </w:r>
          </w:p>
        </w:tc>
      </w:tr>
      <w:tr>
        <w:trPr>
          <w:trHeight w:val="470" w:hRule="atLeast"/>
        </w:trPr>
        <w:tc>
          <w:tcPr>
            <w:tcW w:w="3000" w:type="dxa"/>
          </w:tcPr>
          <w:p>
            <w:pPr>
              <w:pStyle w:val="TableParagraph"/>
              <w:spacing w:before="119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Team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7240" w:type="dxa"/>
          </w:tcPr>
          <w:p>
            <w:pPr>
              <w:pStyle w:val="TableParagraph"/>
              <w:spacing w:before="119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6ab2210011b716a3e52c62c6</w:t>
            </w:r>
          </w:p>
        </w:tc>
      </w:tr>
      <w:tr>
        <w:trPr>
          <w:trHeight w:val="472" w:hRule="atLeast"/>
        </w:trPr>
        <w:tc>
          <w:tcPr>
            <w:tcW w:w="3000" w:type="dxa"/>
          </w:tcPr>
          <w:p>
            <w:pPr>
              <w:pStyle w:val="TableParagraph"/>
              <w:spacing w:before="120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7240" w:type="dxa"/>
          </w:tcPr>
          <w:p>
            <w:pPr>
              <w:pStyle w:val="TableParagraph"/>
              <w:spacing w:before="120"/>
              <w:ind w:left="120"/>
              <w:rPr>
                <w:sz w:val="20"/>
              </w:rPr>
            </w:pPr>
            <w:r>
              <w:rPr>
                <w:sz w:val="20"/>
              </w:rPr>
              <w:t>Streamlining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Procurement: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Automatic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Standard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Laptop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Orders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Flow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Designer</w:t>
            </w:r>
          </w:p>
        </w:tc>
      </w:tr>
      <w:tr>
        <w:trPr>
          <w:trHeight w:val="470" w:hRule="atLeast"/>
        </w:trPr>
        <w:tc>
          <w:tcPr>
            <w:tcW w:w="3000" w:type="dxa"/>
          </w:tcPr>
          <w:p>
            <w:pPr>
              <w:pStyle w:val="TableParagraph"/>
              <w:spacing w:before="119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Maximum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7240" w:type="dxa"/>
          </w:tcPr>
          <w:p>
            <w:pPr>
              <w:pStyle w:val="TableParagraph"/>
              <w:spacing w:before="119"/>
              <w:ind w:left="120"/>
              <w:rPr>
                <w:sz w:val="20"/>
              </w:rPr>
            </w:pPr>
            <w:r>
              <w:rPr>
                <w:sz w:val="20"/>
              </w:rPr>
              <w:t>2 </w:t>
            </w:r>
            <w:r>
              <w:rPr>
                <w:spacing w:val="-2"/>
                <w:sz w:val="20"/>
              </w:rPr>
              <w:t>Marks</w:t>
            </w:r>
          </w:p>
        </w:tc>
      </w:tr>
    </w:tbl>
    <w:p>
      <w:pPr>
        <w:pStyle w:val="Heading2"/>
      </w:pPr>
      <w:r>
        <w:rPr/>
        <w:t>Proposed</w:t>
      </w:r>
      <w:r>
        <w:rPr>
          <w:spacing w:val="-8"/>
        </w:rPr>
        <w:t> </w:t>
      </w:r>
      <w:r>
        <w:rPr/>
        <w:t>Solution</w:t>
      </w:r>
      <w:r>
        <w:rPr>
          <w:spacing w:val="-8"/>
        </w:rPr>
        <w:t> </w:t>
      </w:r>
      <w:r>
        <w:rPr>
          <w:spacing w:val="-2"/>
        </w:rPr>
        <w:t>Template:</w:t>
      </w:r>
    </w:p>
    <w:p>
      <w:pPr>
        <w:pStyle w:val="BodyText"/>
        <w:spacing w:before="61"/>
        <w:ind w:left="282"/>
      </w:pPr>
      <w:r>
        <w:rPr/>
        <w:t>Project</w:t>
      </w:r>
      <w:r>
        <w:rPr>
          <w:spacing w:val="-3"/>
        </w:rPr>
        <w:t> </w:t>
      </w:r>
      <w:r>
        <w:rPr/>
        <w:t>team</w:t>
      </w:r>
      <w:r>
        <w:rPr>
          <w:spacing w:val="-3"/>
        </w:rPr>
        <w:t> </w:t>
      </w:r>
      <w:r>
        <w:rPr/>
        <w:t>shall</w:t>
      </w:r>
      <w:r>
        <w:rPr>
          <w:spacing w:val="-3"/>
        </w:rPr>
        <w:t> </w:t>
      </w:r>
      <w:r>
        <w:rPr/>
        <w:t>fill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proposed</w:t>
      </w:r>
      <w:r>
        <w:rPr>
          <w:spacing w:val="-2"/>
        </w:rPr>
        <w:t> </w:t>
      </w:r>
      <w:r>
        <w:rPr/>
        <w:t>solution</w:t>
      </w:r>
      <w:r>
        <w:rPr>
          <w:spacing w:val="-2"/>
        </w:rPr>
        <w:t> template.</w:t>
      </w:r>
    </w:p>
    <w:p>
      <w:pPr>
        <w:pStyle w:val="BodyText"/>
        <w:spacing w:before="5"/>
        <w:rPr>
          <w:sz w:val="17"/>
        </w:rPr>
      </w:pPr>
    </w:p>
    <w:tbl>
      <w:tblPr>
        <w:tblW w:w="0" w:type="auto"/>
        <w:jc w:val="left"/>
        <w:tblInd w:w="291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3300"/>
        <w:gridCol w:w="6040"/>
      </w:tblGrid>
      <w:tr>
        <w:trPr>
          <w:trHeight w:val="472" w:hRule="atLeast"/>
        </w:trPr>
        <w:tc>
          <w:tcPr>
            <w:tcW w:w="900" w:type="dxa"/>
          </w:tcPr>
          <w:p>
            <w:pPr>
              <w:pStyle w:val="TableParagraph"/>
              <w:spacing w:before="120"/>
              <w:ind w:right="361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S.No</w:t>
            </w:r>
          </w:p>
        </w:tc>
        <w:tc>
          <w:tcPr>
            <w:tcW w:w="3300" w:type="dxa"/>
          </w:tcPr>
          <w:p>
            <w:pPr>
              <w:pStyle w:val="TableParagraph"/>
              <w:spacing w:before="120"/>
              <w:ind w:left="12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Parameter</w:t>
            </w:r>
          </w:p>
        </w:tc>
        <w:tc>
          <w:tcPr>
            <w:tcW w:w="6040" w:type="dxa"/>
          </w:tcPr>
          <w:p>
            <w:pPr>
              <w:pStyle w:val="TableParagraph"/>
              <w:spacing w:before="120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1116" w:hRule="atLeast"/>
        </w:trPr>
        <w:tc>
          <w:tcPr>
            <w:tcW w:w="900" w:type="dxa"/>
          </w:tcPr>
          <w:p>
            <w:pPr>
              <w:pStyle w:val="TableParagraph"/>
              <w:spacing w:before="211"/>
              <w:rPr>
                <w:sz w:val="20"/>
              </w:rPr>
            </w:pPr>
          </w:p>
          <w:p>
            <w:pPr>
              <w:pStyle w:val="TableParagraph"/>
              <w:ind w:right="38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300" w:type="dxa"/>
          </w:tcPr>
          <w:p>
            <w:pPr>
              <w:pStyle w:val="TableParagraph"/>
              <w:spacing w:before="96"/>
              <w:rPr>
                <w:sz w:val="20"/>
              </w:rPr>
            </w:pPr>
          </w:p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Statement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(Problem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be </w:t>
            </w:r>
            <w:r>
              <w:rPr>
                <w:spacing w:val="-2"/>
                <w:sz w:val="20"/>
              </w:rPr>
              <w:t>solved)</w:t>
            </w:r>
          </w:p>
        </w:tc>
        <w:tc>
          <w:tcPr>
            <w:tcW w:w="6040" w:type="dxa"/>
          </w:tcPr>
          <w:p>
            <w:pPr>
              <w:pStyle w:val="TableParagraph"/>
              <w:spacing w:before="118"/>
              <w:ind w:left="121" w:right="135"/>
              <w:rPr>
                <w:sz w:val="19"/>
              </w:rPr>
            </w:pPr>
            <w:r>
              <w:rPr>
                <w:sz w:val="19"/>
              </w:rPr>
              <w:t>New hires and existing employees face long, unclear delays when requesting a standard laptop, because the request, manager approval, stock check,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vendor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ordering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are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all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handled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manually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over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email/phone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with no automated workflow or status visibility.</w:t>
            </w:r>
          </w:p>
        </w:tc>
      </w:tr>
      <w:tr>
        <w:trPr>
          <w:trHeight w:val="1333" w:hRule="atLeast"/>
        </w:trPr>
        <w:tc>
          <w:tcPr>
            <w:tcW w:w="90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1"/>
              <w:rPr>
                <w:sz w:val="20"/>
              </w:rPr>
            </w:pPr>
          </w:p>
          <w:p>
            <w:pPr>
              <w:pStyle w:val="TableParagraph"/>
              <w:ind w:right="38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30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1"/>
              <w:rPr>
                <w:sz w:val="20"/>
              </w:rPr>
            </w:pPr>
          </w:p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Idea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Solution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description</w:t>
            </w:r>
          </w:p>
        </w:tc>
        <w:tc>
          <w:tcPr>
            <w:tcW w:w="6040" w:type="dxa"/>
          </w:tcPr>
          <w:p>
            <w:pPr>
              <w:pStyle w:val="TableParagraph"/>
              <w:spacing w:before="118"/>
              <w:ind w:left="121" w:right="265"/>
              <w:rPr>
                <w:sz w:val="19"/>
              </w:rPr>
            </w:pPr>
            <w:r>
              <w:rPr>
                <w:sz w:val="19"/>
              </w:rPr>
              <w:t>An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automated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Flow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Designer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workflow: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employee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submits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request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via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 self-service Service Catalog item, the flow auto-routes it for manager approval, auto-checks stock, auto-creates a fulfilment task or a vendor purchase order accordingly, and sends status notifications at each step through to delivery.</w:t>
            </w:r>
          </w:p>
        </w:tc>
      </w:tr>
      <w:tr>
        <w:trPr>
          <w:trHeight w:val="1116" w:hRule="atLeast"/>
        </w:trPr>
        <w:tc>
          <w:tcPr>
            <w:tcW w:w="900" w:type="dxa"/>
          </w:tcPr>
          <w:p>
            <w:pPr>
              <w:pStyle w:val="TableParagraph"/>
              <w:spacing w:before="212"/>
              <w:rPr>
                <w:sz w:val="20"/>
              </w:rPr>
            </w:pPr>
          </w:p>
          <w:p>
            <w:pPr>
              <w:pStyle w:val="TableParagraph"/>
              <w:ind w:right="38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300" w:type="dxa"/>
          </w:tcPr>
          <w:p>
            <w:pPr>
              <w:pStyle w:val="TableParagraph"/>
              <w:spacing w:before="212"/>
              <w:rPr>
                <w:sz w:val="20"/>
              </w:rPr>
            </w:pPr>
          </w:p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Novelty /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Uniqueness</w:t>
            </w:r>
          </w:p>
        </w:tc>
        <w:tc>
          <w:tcPr>
            <w:tcW w:w="6040" w:type="dxa"/>
          </w:tcPr>
          <w:p>
            <w:pPr>
              <w:pStyle w:val="TableParagraph"/>
              <w:spacing w:before="119"/>
              <w:ind w:left="121" w:right="135"/>
              <w:rPr>
                <w:sz w:val="19"/>
              </w:rPr>
            </w:pPr>
            <w:r>
              <w:rPr>
                <w:sz w:val="19"/>
              </w:rPr>
              <w:t>Fully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automated,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rule-based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routing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from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request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delivery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(no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manual email hand-offs); real-time stock-aware branching between in-house fulfilment and vendor procurement; a live dashboard giving end-to-end visibility that the current manual process lacks.</w:t>
            </w:r>
          </w:p>
        </w:tc>
      </w:tr>
      <w:tr>
        <w:trPr>
          <w:trHeight w:val="1116" w:hRule="atLeast"/>
        </w:trPr>
        <w:tc>
          <w:tcPr>
            <w:tcW w:w="900" w:type="dxa"/>
          </w:tcPr>
          <w:p>
            <w:pPr>
              <w:pStyle w:val="TableParagraph"/>
              <w:spacing w:before="212"/>
              <w:rPr>
                <w:sz w:val="20"/>
              </w:rPr>
            </w:pPr>
          </w:p>
          <w:p>
            <w:pPr>
              <w:pStyle w:val="TableParagraph"/>
              <w:ind w:right="38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300" w:type="dxa"/>
          </w:tcPr>
          <w:p>
            <w:pPr>
              <w:pStyle w:val="TableParagraph"/>
              <w:spacing w:before="212"/>
              <w:rPr>
                <w:sz w:val="20"/>
              </w:rPr>
            </w:pPr>
          </w:p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Social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Impact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2"/>
                <w:sz w:val="20"/>
              </w:rPr>
              <w:t> Satisfaction</w:t>
            </w:r>
          </w:p>
        </w:tc>
        <w:tc>
          <w:tcPr>
            <w:tcW w:w="6040" w:type="dxa"/>
          </w:tcPr>
          <w:p>
            <w:pPr>
              <w:pStyle w:val="TableParagraph"/>
              <w:spacing w:before="119"/>
              <w:ind w:left="121"/>
              <w:rPr>
                <w:sz w:val="19"/>
              </w:rPr>
            </w:pPr>
            <w:r>
              <w:rPr>
                <w:sz w:val="19"/>
              </w:rPr>
              <w:t>Faster, transparent onboarding experience for new employees; reduced frustration and follow-up effort for staff and managers; consistent standard configurations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all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employees;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less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manual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workload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fewer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errors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for the IT team.</w:t>
            </w:r>
          </w:p>
        </w:tc>
      </w:tr>
      <w:tr>
        <w:trPr>
          <w:trHeight w:val="1116" w:hRule="atLeast"/>
        </w:trPr>
        <w:tc>
          <w:tcPr>
            <w:tcW w:w="900" w:type="dxa"/>
          </w:tcPr>
          <w:p>
            <w:pPr>
              <w:pStyle w:val="TableParagraph"/>
              <w:spacing w:before="212"/>
              <w:rPr>
                <w:sz w:val="20"/>
              </w:rPr>
            </w:pPr>
          </w:p>
          <w:p>
            <w:pPr>
              <w:pStyle w:val="TableParagraph"/>
              <w:ind w:right="38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300" w:type="dxa"/>
          </w:tcPr>
          <w:p>
            <w:pPr>
              <w:pStyle w:val="TableParagraph"/>
              <w:spacing w:before="212"/>
              <w:rPr>
                <w:sz w:val="20"/>
              </w:rPr>
            </w:pPr>
          </w:p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Business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Model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(Revenue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Model)</w:t>
            </w:r>
          </w:p>
        </w:tc>
        <w:tc>
          <w:tcPr>
            <w:tcW w:w="6040" w:type="dxa"/>
          </w:tcPr>
          <w:p>
            <w:pPr>
              <w:pStyle w:val="TableParagraph"/>
              <w:spacing w:before="119"/>
              <w:ind w:left="121" w:right="161"/>
              <w:rPr>
                <w:sz w:val="19"/>
              </w:rPr>
            </w:pPr>
            <w:r>
              <w:rPr>
                <w:sz w:val="19"/>
              </w:rPr>
              <w:t>Internal IT productivity solution — cost savings from reduced manual processing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time,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fewer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procurement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errors/duplicate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orders,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faster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asset turnaround; can be offered as a reusable Flow Designer template/module for other IT asset request types.</w:t>
            </w:r>
          </w:p>
        </w:tc>
      </w:tr>
      <w:tr>
        <w:trPr>
          <w:trHeight w:val="1115" w:hRule="atLeast"/>
        </w:trPr>
        <w:tc>
          <w:tcPr>
            <w:tcW w:w="900" w:type="dxa"/>
          </w:tcPr>
          <w:p>
            <w:pPr>
              <w:pStyle w:val="TableParagraph"/>
              <w:spacing w:before="212"/>
              <w:rPr>
                <w:sz w:val="20"/>
              </w:rPr>
            </w:pPr>
          </w:p>
          <w:p>
            <w:pPr>
              <w:pStyle w:val="TableParagraph"/>
              <w:ind w:right="38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300" w:type="dxa"/>
          </w:tcPr>
          <w:p>
            <w:pPr>
              <w:pStyle w:val="TableParagraph"/>
              <w:spacing w:before="212"/>
              <w:rPr>
                <w:sz w:val="20"/>
              </w:rPr>
            </w:pPr>
          </w:p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Scalability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6040" w:type="dxa"/>
          </w:tcPr>
          <w:p>
            <w:pPr>
              <w:pStyle w:val="TableParagraph"/>
              <w:spacing w:before="119"/>
              <w:ind w:left="121" w:right="135"/>
              <w:rPr>
                <w:sz w:val="19"/>
              </w:rPr>
            </w:pPr>
            <w:r>
              <w:rPr>
                <w:sz w:val="19"/>
              </w:rPr>
              <w:t>The same flow structure can be extended to other IT assets (monitors, phones,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software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licenses)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other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departments;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scales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across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multiple locations/teams by simply adding approval hierarchies and inventory sources without redesigning the core workflow.</w:t>
            </w:r>
          </w:p>
        </w:tc>
      </w:tr>
    </w:tbl>
    <w:sectPr>
      <w:type w:val="continuous"/>
      <w:pgSz w:w="12240" w:h="15840"/>
      <w:pgMar w:top="940" w:bottom="280" w:left="720" w:right="720"/>
      <w:pgBorders w:offsetFrom="page">
        <w:top w:val="single" w:color="000000" w:space="20" w:sz="12"/>
        <w:left w:val="single" w:color="000000" w:space="20" w:sz="12"/>
        <w:bottom w:val="single" w:color="000000" w:space="20" w:sz="12"/>
        <w:right w:val="single" w:color="000000" w:space="20" w:sz="12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3827" w:right="3823" w:firstLine="1"/>
      <w:jc w:val="center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39"/>
      <w:ind w:left="282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2026-09-28T06:59:19Z</dcterms:created>
  <dcterms:modified xsi:type="dcterms:W3CDTF">2026-09-28T06:59:19Z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2026-09-28T00:00:00Z</vt:filetime>
  </property>
</Properties>
</file>