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4338CA"/>
          <w:sz w:val="20"/>
        </w:rPr>
        <w:t>OFFICIAL PLATFORM ARCHITECTURE &amp; SPECIFICATION BLUEPRINT</w:t>
        <w:br/>
      </w:r>
      <w:r>
        <w:rPr>
          <w:b/>
          <w:color w:val="0F172A"/>
          <w:sz w:val="52"/>
        </w:rPr>
        <w:t>JOY DATA VERIFICATION</w:t>
      </w:r>
    </w:p>
    <w:p>
      <w:pPr>
        <w:spacing w:before="40" w:after="320"/>
      </w:pPr>
      <w:r>
        <w:rPr>
          <w:i/>
          <w:color w:val="64748B"/>
          <w:sz w:val="26"/>
        </w:rPr>
        <w:t>Enterprise 360° Multi-API Background Verification, Statutory Labor Compliance &amp; Digital Onboarding Platform</w:t>
      </w:r>
    </w:p>
    <w:tbl>
      <w:tblPr>
        <w:tblW w:type="auto" w:w="0"/>
        <w:jc w:val="center"/>
        <w:tblLayout w:type="fixed"/>
        <w:tblLook w:firstColumn="1" w:firstRow="1" w:lastColumn="0" w:lastRow="0" w:noHBand="0" w:noVBand="1" w:val="04A0"/>
      </w:tblPr>
      <w:tblGrid>
        <w:gridCol w:w="4680"/>
        <w:gridCol w:w="4680"/>
      </w:tblGrid>
      <w:tr>
        <w:tc>
          <w:tcPr>
            <w:tcW w:type="dxa" w:w="3168"/>
            <w:shd w:fill="F8FAFC"/>
            <w:tcMar>
              <w:top w:w="80" w:type="dxa"/>
              <w:bottom w:w="80" w:type="dxa"/>
              <w:left w:w="100" w:type="dxa"/>
              <w:right w:w="100" w:type="dxa"/>
            </w:tcMar>
          </w:tcPr>
          <w:p>
            <w:r>
              <w:rPr>
                <w:b/>
                <w:color w:val="1E293B"/>
                <w:sz w:val="19"/>
              </w:rPr>
              <w:t>Platform Owner &amp; Provider:</w:t>
            </w:r>
          </w:p>
        </w:tc>
        <w:tc>
          <w:tcPr>
            <w:tcW w:type="dxa" w:w="6192"/>
            <w:shd w:fill="F1F5F9"/>
            <w:tcMar>
              <w:top w:w="80" w:type="dxa"/>
              <w:bottom w:w="80" w:type="dxa"/>
              <w:left w:w="100" w:type="dxa"/>
              <w:right w:w="100" w:type="dxa"/>
            </w:tcMar>
          </w:tcPr>
          <w:p>
            <w:r>
              <w:rPr>
                <w:color w:val="0F172A"/>
                <w:sz w:val="19"/>
              </w:rPr>
              <w:t>JOY CORPORATE SOLUTIONS PRIVATE LIMITED</w:t>
            </w:r>
          </w:p>
        </w:tc>
      </w:tr>
      <w:tr>
        <w:tc>
          <w:tcPr>
            <w:tcW w:type="dxa" w:w="3168"/>
            <w:shd w:fill="F8FAFC"/>
            <w:tcMar>
              <w:top w:w="80" w:type="dxa"/>
              <w:bottom w:w="80" w:type="dxa"/>
              <w:left w:w="100" w:type="dxa"/>
              <w:right w:w="100" w:type="dxa"/>
            </w:tcMar>
          </w:tcPr>
          <w:p>
            <w:r>
              <w:rPr>
                <w:b/>
                <w:color w:val="1E293B"/>
                <w:sz w:val="19"/>
              </w:rPr>
              <w:t>System Architecture Version:</w:t>
            </w:r>
          </w:p>
        </w:tc>
        <w:tc>
          <w:tcPr>
            <w:tcW w:type="dxa" w:w="6192"/>
            <w:shd w:fill="F1F5F9"/>
            <w:tcMar>
              <w:top w:w="80" w:type="dxa"/>
              <w:bottom w:w="80" w:type="dxa"/>
              <w:left w:w="100" w:type="dxa"/>
              <w:right w:w="100" w:type="dxa"/>
            </w:tcMar>
          </w:tcPr>
          <w:p>
            <w:r>
              <w:rPr>
                <w:color w:val="0F172A"/>
                <w:sz w:val="19"/>
              </w:rPr>
              <w:t>v3.0 Enterprise Release (2026 Production Edition)</w:t>
            </w:r>
          </w:p>
        </w:tc>
      </w:tr>
      <w:tr>
        <w:tc>
          <w:tcPr>
            <w:tcW w:type="dxa" w:w="3168"/>
            <w:shd w:fill="F8FAFC"/>
            <w:tcMar>
              <w:top w:w="80" w:type="dxa"/>
              <w:bottom w:w="80" w:type="dxa"/>
              <w:left w:w="100" w:type="dxa"/>
              <w:right w:w="100" w:type="dxa"/>
            </w:tcMar>
          </w:tcPr>
          <w:p>
            <w:r>
              <w:rPr>
                <w:b/>
                <w:color w:val="1E293B"/>
                <w:sz w:val="19"/>
              </w:rPr>
              <w:t>Regulatory &amp; Legal Compliance:</w:t>
            </w:r>
          </w:p>
        </w:tc>
        <w:tc>
          <w:tcPr>
            <w:tcW w:type="dxa" w:w="6192"/>
            <w:shd w:fill="F1F5F9"/>
            <w:tcMar>
              <w:top w:w="80" w:type="dxa"/>
              <w:bottom w:w="80" w:type="dxa"/>
              <w:left w:w="100" w:type="dxa"/>
              <w:right w:w="100" w:type="dxa"/>
            </w:tcMar>
          </w:tcPr>
          <w:p>
            <w:r>
              <w:rPr>
                <w:b/>
                <w:color w:val="047857"/>
                <w:sz w:val="19"/>
              </w:rPr>
              <w:t>DPDP Act 2023 • IT Act 2000 • ISO 27001:2022 Certified</w:t>
            </w:r>
          </w:p>
        </w:tc>
      </w:tr>
      <w:tr>
        <w:tc>
          <w:tcPr>
            <w:tcW w:type="dxa" w:w="3168"/>
            <w:shd w:fill="F8FAFC"/>
            <w:tcMar>
              <w:top w:w="80" w:type="dxa"/>
              <w:bottom w:w="80" w:type="dxa"/>
              <w:left w:w="100" w:type="dxa"/>
              <w:right w:w="100" w:type="dxa"/>
            </w:tcMar>
          </w:tcPr>
          <w:p>
            <w:r>
              <w:rPr>
                <w:b/>
                <w:color w:val="1E293B"/>
                <w:sz w:val="19"/>
              </w:rPr>
              <w:t>Document Classification:</w:t>
            </w:r>
          </w:p>
        </w:tc>
        <w:tc>
          <w:tcPr>
            <w:tcW w:type="dxa" w:w="6192"/>
            <w:shd w:fill="F1F5F9"/>
            <w:tcMar>
              <w:top w:w="80" w:type="dxa"/>
              <w:bottom w:w="80" w:type="dxa"/>
              <w:left w:w="100" w:type="dxa"/>
              <w:right w:w="100" w:type="dxa"/>
            </w:tcMar>
          </w:tcPr>
          <w:p>
            <w:r>
              <w:rPr>
                <w:color w:val="0F172A"/>
                <w:sz w:val="19"/>
              </w:rPr>
              <w:t>Official Technical, Functional &amp; Role Specification Manual</w:t>
            </w:r>
          </w:p>
        </w:tc>
      </w:tr>
    </w:tbl>
    <w:p>
      <w:pPr>
        <w:spacing w:after="280"/>
      </w:pPr>
    </w:p>
    <w:p>
      <w:pPr>
        <w:pStyle w:val="Heading1"/>
        <w:spacing w:before="320" w:after="120"/>
      </w:pPr>
      <w:r>
        <w:rPr>
          <w:b/>
          <w:color w:val="4338CA"/>
        </w:rPr>
        <w:t>1. Executive Summary &amp; Core Platform Philosophy</w:t>
      </w:r>
    </w:p>
    <w:p>
      <w:r>
        <w:t>JOY DATA VERIFICATION is an enterprise-grade digital trust and workforce background verification platform designed for modern corporations, HR recruitment hubs, and staffing organizations. Operating under the stringent requirements of the Digital Personal Data Protection (DPDP) Act 2023 and Information Technology Act 2000, the platform connects directly with 10+ authorized Government and statutory data repositories to establish a Point-in-Time Immutable Truth for every onboarded candidate.</w:t>
        <w:br/>
        <w:br/>
        <w:t>The ecosystem features a hierarchical, multi-tenant architecture with four specialized operational portals:</w:t>
      </w:r>
    </w:p>
    <w:tbl>
      <w:tblPr>
        <w:tblW w:type="auto" w:w="0"/>
        <w:jc w:val="center"/>
        <w:tblLook w:firstColumn="1" w:firstRow="1" w:lastColumn="0" w:lastRow="0" w:noHBand="0" w:noVBand="1" w:val="04A0"/>
      </w:tblPr>
      <w:tblGrid>
        <w:gridCol w:w="3120"/>
        <w:gridCol w:w="3120"/>
        <w:gridCol w:w="3120"/>
      </w:tblGrid>
      <w:tr>
        <w:tc>
          <w:tcPr>
            <w:tcW w:type="dxa" w:w="2592"/>
            <w:shd w:fill="1E293B"/>
            <w:tcMar>
              <w:top w:w="100" w:type="dxa"/>
              <w:bottom w:w="100" w:type="dxa"/>
              <w:left w:w="120" w:type="dxa"/>
              <w:right w:w="120" w:type="dxa"/>
            </w:tcMar>
          </w:tcPr>
          <w:p>
            <w:r>
              <w:rPr>
                <w:b/>
                <w:color w:val="FFFFFF"/>
                <w:sz w:val="19"/>
              </w:rPr>
              <w:t>Portal Role</w:t>
            </w:r>
          </w:p>
        </w:tc>
        <w:tc>
          <w:tcPr>
            <w:tcW w:type="dxa" w:w="3168"/>
            <w:shd w:fill="1E293B"/>
            <w:tcMar>
              <w:top w:w="100" w:type="dxa"/>
              <w:bottom w:w="100" w:type="dxa"/>
              <w:left w:w="120" w:type="dxa"/>
              <w:right w:w="120" w:type="dxa"/>
            </w:tcMar>
          </w:tcPr>
          <w:p>
            <w:r>
              <w:rPr>
                <w:b/>
                <w:color w:val="FFFFFF"/>
                <w:sz w:val="19"/>
              </w:rPr>
              <w:t>Target User &amp; Access Path</w:t>
            </w:r>
          </w:p>
        </w:tc>
        <w:tc>
          <w:tcPr>
            <w:tcW w:type="dxa" w:w="3600"/>
            <w:shd w:fill="1E293B"/>
            <w:tcMar>
              <w:top w:w="100" w:type="dxa"/>
              <w:bottom w:w="100" w:type="dxa"/>
              <w:left w:w="120" w:type="dxa"/>
              <w:right w:w="120" w:type="dxa"/>
            </w:tcMar>
          </w:tcPr>
          <w:p>
            <w:r>
              <w:rPr>
                <w:b/>
                <w:color w:val="FFFFFF"/>
                <w:sz w:val="19"/>
              </w:rPr>
              <w:t>Key Responsibilities &amp; Capabilities</w:t>
            </w:r>
          </w:p>
        </w:tc>
      </w:tr>
      <w:tr>
        <w:tc>
          <w:tcPr>
            <w:tcW w:type="dxa" w:w="2592"/>
            <w:shd w:fill="F8FAFC"/>
            <w:tcMar>
              <w:top w:w="80" w:type="dxa"/>
              <w:bottom w:w="80" w:type="dxa"/>
              <w:left w:w="100" w:type="dxa"/>
              <w:right w:w="100" w:type="dxa"/>
            </w:tcMar>
          </w:tcPr>
          <w:p>
            <w:r>
              <w:rPr>
                <w:b/>
                <w:color w:val="0F172A"/>
                <w:sz w:val="18"/>
              </w:rPr>
              <w:t>👑 Super Admin</w:t>
            </w:r>
          </w:p>
        </w:tc>
        <w:tc>
          <w:tcPr>
            <w:tcW w:type="dxa" w:w="3168"/>
            <w:shd w:fill="F8FAFC"/>
            <w:tcMar>
              <w:top w:w="80" w:type="dxa"/>
              <w:bottom w:w="80" w:type="dxa"/>
              <w:left w:w="100" w:type="dxa"/>
              <w:right w:w="100" w:type="dxa"/>
            </w:tcMar>
          </w:tcPr>
          <w:p>
            <w:r>
              <w:rPr>
                <w:color w:val="0F172A"/>
                <w:sz w:val="18"/>
              </w:rPr>
              <w:t>/superadmin</w:t>
              <w:br/>
              <w:t>(admin@joycorporatesolutions.com)</w:t>
            </w:r>
          </w:p>
        </w:tc>
        <w:tc>
          <w:tcPr>
            <w:tcW w:type="dxa" w:w="3600"/>
            <w:shd w:fill="F8FAFC"/>
            <w:tcMar>
              <w:top w:w="80" w:type="dxa"/>
              <w:bottom w:w="80" w:type="dxa"/>
              <w:left w:w="100" w:type="dxa"/>
              <w:right w:w="100" w:type="dxa"/>
            </w:tcMar>
          </w:tcPr>
          <w:p>
            <w:r>
              <w:rPr>
                <w:color w:val="0F172A"/>
                <w:sz w:val="18"/>
              </w:rPr>
              <w:t>Master platform governance, company onboarding, cPanel SMTP server, API gateways, tariff pricing, B2B billing, and telemetry logs.</w:t>
            </w:r>
          </w:p>
        </w:tc>
      </w:tr>
      <w:tr>
        <w:tc>
          <w:tcPr>
            <w:tcW w:type="dxa" w:w="2592"/>
            <w:shd w:fill="FFFFFF"/>
            <w:tcMar>
              <w:top w:w="80" w:type="dxa"/>
              <w:bottom w:w="80" w:type="dxa"/>
              <w:left w:w="100" w:type="dxa"/>
              <w:right w:w="100" w:type="dxa"/>
            </w:tcMar>
          </w:tcPr>
          <w:p>
            <w:r>
              <w:rPr>
                <w:b/>
                <w:color w:val="0F172A"/>
                <w:sz w:val="18"/>
              </w:rPr>
              <w:t>🏢 Company Admin</w:t>
            </w:r>
          </w:p>
        </w:tc>
        <w:tc>
          <w:tcPr>
            <w:tcW w:type="dxa" w:w="3168"/>
            <w:shd w:fill="FFFFFF"/>
            <w:tcMar>
              <w:top w:w="80" w:type="dxa"/>
              <w:bottom w:w="80" w:type="dxa"/>
              <w:left w:w="100" w:type="dxa"/>
              <w:right w:w="100" w:type="dxa"/>
            </w:tcMar>
          </w:tcPr>
          <w:p>
            <w:r>
              <w:rPr>
                <w:color w:val="0F172A"/>
                <w:sz w:val="18"/>
              </w:rPr>
              <w:t>/company</w:t>
              <w:br/>
              <w:t>(e.g. admin@company.com)</w:t>
            </w:r>
          </w:p>
        </w:tc>
        <w:tc>
          <w:tcPr>
            <w:tcW w:type="dxa" w:w="3600"/>
            <w:shd w:fill="FFFFFF"/>
            <w:tcMar>
              <w:top w:w="80" w:type="dxa"/>
              <w:bottom w:w="80" w:type="dxa"/>
              <w:left w:w="100" w:type="dxa"/>
              <w:right w:w="100" w:type="dxa"/>
            </w:tcMar>
          </w:tcPr>
          <w:p>
            <w:r>
              <w:rPr>
                <w:color w:val="0F172A"/>
                <w:sz w:val="18"/>
              </w:rPr>
              <w:t>Employer governance, HR recruiter seat management, custom SMTP white-labeling, statutory dossier repository, and verification wallet.</w:t>
            </w:r>
          </w:p>
        </w:tc>
      </w:tr>
      <w:tr>
        <w:tc>
          <w:tcPr>
            <w:tcW w:type="dxa" w:w="2592"/>
            <w:shd w:fill="F8FAFC"/>
            <w:tcMar>
              <w:top w:w="80" w:type="dxa"/>
              <w:bottom w:w="80" w:type="dxa"/>
              <w:left w:w="100" w:type="dxa"/>
              <w:right w:w="100" w:type="dxa"/>
            </w:tcMar>
          </w:tcPr>
          <w:p>
            <w:r>
              <w:rPr>
                <w:b/>
                <w:color w:val="0F172A"/>
                <w:sz w:val="18"/>
              </w:rPr>
              <w:t>👔 HR Executive</w:t>
            </w:r>
          </w:p>
        </w:tc>
        <w:tc>
          <w:tcPr>
            <w:tcW w:type="dxa" w:w="3168"/>
            <w:shd w:fill="F8FAFC"/>
            <w:tcMar>
              <w:top w:w="80" w:type="dxa"/>
              <w:bottom w:w="80" w:type="dxa"/>
              <w:left w:w="100" w:type="dxa"/>
              <w:right w:w="100" w:type="dxa"/>
            </w:tcMar>
          </w:tcPr>
          <w:p>
            <w:r>
              <w:rPr>
                <w:color w:val="0F172A"/>
                <w:sz w:val="18"/>
              </w:rPr>
              <w:t>/hr</w:t>
              <w:br/>
              <w:t>(e.g. COMP001HR001)</w:t>
            </w:r>
          </w:p>
        </w:tc>
        <w:tc>
          <w:tcPr>
            <w:tcW w:type="dxa" w:w="3600"/>
            <w:shd w:fill="F8FAFC"/>
            <w:tcMar>
              <w:top w:w="80" w:type="dxa"/>
              <w:bottom w:w="80" w:type="dxa"/>
              <w:left w:w="100" w:type="dxa"/>
              <w:right w:w="100" w:type="dxa"/>
            </w:tcMar>
          </w:tcPr>
          <w:p>
            <w:r>
              <w:rPr>
                <w:color w:val="0F172A"/>
                <w:sz w:val="18"/>
              </w:rPr>
              <w:t>Candidate link dispatcher (15-min TTL + 4-digit PIN), multi-channel dispatch, live 360° verification review, and dossier certification.</w:t>
            </w:r>
          </w:p>
        </w:tc>
      </w:tr>
      <w:tr>
        <w:tc>
          <w:tcPr>
            <w:tcW w:type="dxa" w:w="2592"/>
            <w:shd w:fill="FFFFFF"/>
            <w:tcMar>
              <w:top w:w="80" w:type="dxa"/>
              <w:bottom w:w="80" w:type="dxa"/>
              <w:left w:w="100" w:type="dxa"/>
              <w:right w:w="100" w:type="dxa"/>
            </w:tcMar>
          </w:tcPr>
          <w:p>
            <w:r>
              <w:rPr>
                <w:b/>
                <w:color w:val="0F172A"/>
                <w:sz w:val="18"/>
              </w:rPr>
              <w:t>📱 Candidate Portal</w:t>
            </w:r>
          </w:p>
        </w:tc>
        <w:tc>
          <w:tcPr>
            <w:tcW w:type="dxa" w:w="3168"/>
            <w:shd w:fill="FFFFFF"/>
            <w:tcMar>
              <w:top w:w="80" w:type="dxa"/>
              <w:bottom w:w="80" w:type="dxa"/>
              <w:left w:w="100" w:type="dxa"/>
              <w:right w:w="100" w:type="dxa"/>
            </w:tcMar>
          </w:tcPr>
          <w:p>
            <w:r>
              <w:rPr>
                <w:color w:val="0F172A"/>
                <w:sz w:val="18"/>
              </w:rPr>
              <w:t>/verify?token=...</w:t>
              <w:br/>
              <w:t>(DPDP Protected)</w:t>
            </w:r>
          </w:p>
        </w:tc>
        <w:tc>
          <w:tcPr>
            <w:tcW w:type="dxa" w:w="3600"/>
            <w:shd w:fill="FFFFFF"/>
            <w:tcMar>
              <w:top w:w="80" w:type="dxa"/>
              <w:bottom w:w="80" w:type="dxa"/>
              <w:left w:w="100" w:type="dxa"/>
              <w:right w:w="100" w:type="dxa"/>
            </w:tcMar>
          </w:tcPr>
          <w:p>
            <w:r>
              <w:rPr>
                <w:color w:val="0F172A"/>
                <w:sz w:val="18"/>
              </w:rPr>
              <w:t>Candidate self-onboarding, 4-digit PIN lock gate, Aadhaar OTP, PAN, EPFO moonlighting check, AI face match, and 7 statutory forms.</w:t>
            </w:r>
          </w:p>
        </w:tc>
      </w:tr>
    </w:tbl>
    <w:p>
      <w:pPr>
        <w:spacing w:after="200"/>
      </w:pPr>
    </w:p>
    <w:p>
      <w:pPr>
        <w:pStyle w:val="Heading1"/>
        <w:spacing w:before="320" w:after="120"/>
      </w:pPr>
      <w:r>
        <w:rPr>
          <w:b/>
          <w:color w:val="4338CA"/>
        </w:rPr>
        <w:t>2. 👑 Super Admin Portal (/superadmin) — Full Feature Specifications</w:t>
      </w:r>
    </w:p>
    <w:p>
      <w:pPr>
        <w:pStyle w:val="Heading2"/>
        <w:spacing w:before="320" w:after="120"/>
      </w:pPr>
      <w:r>
        <w:rPr>
          <w:b/>
          <w:color w:val="0F172A"/>
        </w:rPr>
        <w:t>👑 Super Admin Management Hub</w:t>
      </w:r>
    </w:p>
    <w:p>
      <w:pPr>
        <w:spacing w:after="120"/>
      </w:pPr>
      <w:r>
        <w:rPr>
          <w:i/>
          <w:color w:val="64748B"/>
          <w:sz w:val="20"/>
        </w:rPr>
        <w:t>Governs the global infrastructure, client provisioning, and system integrity.</w:t>
      </w:r>
    </w:p>
    <w:p>
      <w:pPr>
        <w:pStyle w:val="ListBullet"/>
        <w:spacing w:after="60"/>
      </w:pPr>
      <w:r>
        <w:rPr>
          <w:b/>
          <w:color w:val="1E293B"/>
          <w:sz w:val="19"/>
        </w:rPr>
        <w:t xml:space="preserve">Master Platform Telemetry &amp; Volume Charts: </w:t>
      </w:r>
      <w:r>
        <w:rPr>
          <w:color w:val="0F172A"/>
          <w:sz w:val="19"/>
        </w:rPr>
        <w:t>Real-time metrics tracking Total Verifications, Verification Pass Rate (99.6%), Turnaround Time Distribution (under 2 minutes), Active Companies, and Live API Gateway Uptime.</w:t>
      </w:r>
    </w:p>
    <w:p>
      <w:pPr>
        <w:pStyle w:val="ListBullet"/>
        <w:spacing w:after="60"/>
      </w:pPr>
      <w:r>
        <w:rPr>
          <w:b/>
          <w:color w:val="1E293B"/>
          <w:sz w:val="19"/>
        </w:rPr>
        <w:t xml:space="preserve">cPanel SMTP Hosted Email Gateway: </w:t>
      </w:r>
      <w:r>
        <w:rPr>
          <w:color w:val="0F172A"/>
          <w:sz w:val="19"/>
        </w:rPr>
        <w:t>Fixed system master email (admin@joycorporatesolutions.com) configured via cPanel SMTP (mail.joycorporatesolutions.com, Port 465 SSL / 587 TLS) with a built-in live diagnostic connection tester modal.</w:t>
      </w:r>
    </w:p>
    <w:p>
      <w:pPr>
        <w:pStyle w:val="ListBullet"/>
        <w:spacing w:after="60"/>
      </w:pPr>
      <w:r>
        <w:rPr>
          <w:b/>
          <w:color w:val="1E293B"/>
          <w:sz w:val="19"/>
        </w:rPr>
        <w:t xml:space="preserve">Enterprise Company Onboarding Lifecycle: </w:t>
      </w:r>
      <w:r>
        <w:rPr>
          <w:color w:val="0F172A"/>
          <w:sz w:val="19"/>
        </w:rPr>
        <w:t>Dedicated onboarding wizard capturing Company Legal Name, Contact Person, Mobile Number, Email (Login Username), Password Set Option (with random PIN generator), Plan Bought (Basic ₹80, Standard ₹120, Enterprise ₹180), Credits Purchased, and Link Expiry Window (7/15/30 days).</w:t>
      </w:r>
    </w:p>
    <w:p>
      <w:pPr>
        <w:pStyle w:val="ListBullet"/>
        <w:spacing w:after="60"/>
      </w:pPr>
      <w:r>
        <w:rPr>
          <w:b/>
          <w:color w:val="1E293B"/>
          <w:sz w:val="19"/>
        </w:rPr>
        <w:t xml:space="preserve">Multi-Channel Company Self-Activation Dispatcher: </w:t>
      </w:r>
      <w:r>
        <w:rPr>
          <w:color w:val="0F172A"/>
          <w:sz w:val="19"/>
        </w:rPr>
        <w:t>Instant activation modal generating Scannable QR Code, Direct Activation Link (/company-activation?token=...), cPanel SMTP Email Dispatcher, Carrier SMS, and Security PIN Editor.</w:t>
      </w:r>
    </w:p>
    <w:p>
      <w:pPr>
        <w:pStyle w:val="ListBullet"/>
        <w:spacing w:after="60"/>
      </w:pPr>
      <w:r>
        <w:rPr>
          <w:b/>
          <w:color w:val="1E293B"/>
          <w:sz w:val="19"/>
        </w:rPr>
        <w:t xml:space="preserve">Universal Directory Omnisearch &amp; Hierarchy Tracking: </w:t>
      </w:r>
      <w:r>
        <w:rPr>
          <w:color w:val="0F172A"/>
          <w:sz w:val="19"/>
        </w:rPr>
        <w:t>Cross-entity unified search indexing Companies (COMP001), HR Recruiters (COMP001HR001), and Candidates (COMP001EMP001) with drill-down dossiers and official verification certificates.</w:t>
      </w:r>
    </w:p>
    <w:p>
      <w:pPr>
        <w:pStyle w:val="ListBullet"/>
        <w:spacing w:after="60"/>
      </w:pPr>
      <w:r>
        <w:rPr>
          <w:b/>
          <w:color w:val="1E293B"/>
          <w:sz w:val="19"/>
        </w:rPr>
        <w:t xml:space="preserve">Government &amp; Upstream API Gateways Manager: </w:t>
      </w:r>
      <w:r>
        <w:rPr>
          <w:color w:val="0F172A"/>
          <w:sz w:val="19"/>
        </w:rPr>
        <w:t>Configuration of sandbox and live production endpoints for UIDAI Aadhaar, NSDL PAN, EPFO UAN Dual-Employment, Driving License Sarathi, Voter ID ECI, e-Courts Judicial Litigation, and AI Face Liveness.</w:t>
      </w:r>
    </w:p>
    <w:p>
      <w:pPr>
        <w:pStyle w:val="ListBullet"/>
        <w:spacing w:after="60"/>
      </w:pPr>
      <w:r>
        <w:rPr>
          <w:b/>
          <w:color w:val="1E293B"/>
          <w:sz w:val="19"/>
        </w:rPr>
        <w:t xml:space="preserve">Tariff Plans &amp; B2B Pricing Management: </w:t>
      </w:r>
      <w:r>
        <w:rPr>
          <w:color w:val="0F172A"/>
          <w:sz w:val="19"/>
        </w:rPr>
        <w:t>Granular rate card configuration per check, monthly quota limits, wallet balance auto-recharge triggers, and custom pricing rules per enterprise client.</w:t>
      </w:r>
    </w:p>
    <w:p>
      <w:pPr>
        <w:pStyle w:val="ListBullet"/>
        <w:spacing w:after="60"/>
      </w:pPr>
      <w:r>
        <w:rPr>
          <w:b/>
          <w:color w:val="1E293B"/>
          <w:sz w:val="19"/>
        </w:rPr>
        <w:t xml:space="preserve">B2B Invoicing &amp; Razorpay Payment Integration: </w:t>
      </w:r>
      <w:r>
        <w:rPr>
          <w:color w:val="0F172A"/>
          <w:sz w:val="19"/>
        </w:rPr>
        <w:t>Automated GST tax invoice generator with HSN codes, SAC compliance, Razorpay test/live payment modal, and payment transaction audit log.</w:t>
      </w:r>
    </w:p>
    <w:p>
      <w:pPr>
        <w:pStyle w:val="ListBullet"/>
        <w:spacing w:after="60"/>
      </w:pPr>
      <w:r>
        <w:rPr>
          <w:b/>
          <w:color w:val="1E293B"/>
          <w:sz w:val="19"/>
        </w:rPr>
        <w:t xml:space="preserve">DBMS Query Explorer &amp; Database Inspector: </w:t>
      </w:r>
      <w:r>
        <w:rPr>
          <w:color w:val="0F172A"/>
          <w:sz w:val="19"/>
        </w:rPr>
        <w:t>Direct read/write database inspection tool supporting table browsing across companies, hr_users, candidates, communication_gateways, and system_error_logs with live SQL runner.</w:t>
      </w:r>
    </w:p>
    <w:p>
      <w:pPr>
        <w:pStyle w:val="ListBullet"/>
        <w:spacing w:after="60"/>
      </w:pPr>
      <w:r>
        <w:rPr>
          <w:b/>
          <w:color w:val="1E293B"/>
          <w:sz w:val="19"/>
        </w:rPr>
        <w:t xml:space="preserve">System Error Diagnostic &amp; Auto-Healing Engine: </w:t>
      </w:r>
      <w:r>
        <w:rPr>
          <w:color w:val="0F172A"/>
          <w:sz w:val="19"/>
        </w:rPr>
        <w:t>Categorized system error logging (Info, Warning, Critical) with automatic self-healing routines, timestamp tracking, and resolution auditing.</w:t>
      </w:r>
    </w:p>
    <w:p>
      <w:pPr>
        <w:pStyle w:val="ListBullet"/>
        <w:spacing w:after="60"/>
      </w:pPr>
      <w:r>
        <w:rPr>
          <w:b/>
          <w:color w:val="1E293B"/>
          <w:sz w:val="19"/>
        </w:rPr>
        <w:t xml:space="preserve">Dynamic Master Statutory Form Fields Builder: </w:t>
      </w:r>
      <w:r>
        <w:rPr>
          <w:color w:val="0F172A"/>
          <w:sz w:val="19"/>
        </w:rPr>
        <w:t>Centralized builder for adding and configuring custom mandatory/optional onboarding attributes across 5 categories (Personal, Identity, Employment, Statutory, Bank).</w:t>
      </w:r>
    </w:p>
    <w:p>
      <w:pPr>
        <w:pStyle w:val="ListBullet"/>
        <w:spacing w:after="60"/>
      </w:pPr>
      <w:r>
        <w:rPr>
          <w:b/>
          <w:color w:val="1E293B"/>
          <w:sz w:val="19"/>
        </w:rPr>
        <w:t xml:space="preserve">Enterprise Legal Terms &amp; DPDP SLA Contract Hub: </w:t>
      </w:r>
      <w:r>
        <w:rPr>
          <w:color w:val="0F172A"/>
          <w:sz w:val="19"/>
        </w:rPr>
        <w:t>Full contract management for Terms of Service (v2.4-2026), Point-in-Time Verification Agreement, and authorized signatory compliance records.</w:t>
      </w:r>
    </w:p>
    <w:p>
      <w:pPr>
        <w:pStyle w:val="Heading1"/>
        <w:spacing w:before="320" w:after="120"/>
      </w:pPr>
      <w:r>
        <w:rPr>
          <w:b/>
          <w:color w:val="4338CA"/>
        </w:rPr>
        <w:t>3. 🏢 Company Admin Portal (/company) — Full Feature Specifications</w:t>
      </w:r>
    </w:p>
    <w:p>
      <w:pPr>
        <w:pStyle w:val="Heading2"/>
        <w:spacing w:before="320" w:after="120"/>
      </w:pPr>
      <w:r>
        <w:rPr>
          <w:b/>
          <w:color w:val="0F172A"/>
        </w:rPr>
        <w:t>🏢 Company Administrator Hub</w:t>
      </w:r>
    </w:p>
    <w:p>
      <w:pPr>
        <w:spacing w:after="120"/>
      </w:pPr>
      <w:r>
        <w:rPr>
          <w:i/>
          <w:color w:val="64748B"/>
          <w:sz w:val="20"/>
        </w:rPr>
        <w:t>Empowers client organizations to govern their verification pipelines, HR teams, and billing.</w:t>
      </w:r>
    </w:p>
    <w:p>
      <w:pPr>
        <w:pStyle w:val="ListBullet"/>
        <w:spacing w:after="60"/>
      </w:pPr>
      <w:r>
        <w:rPr>
          <w:b/>
          <w:color w:val="1E293B"/>
          <w:sz w:val="19"/>
        </w:rPr>
        <w:t xml:space="preserve">Company Self-Activation Gateway (/company-activation): </w:t>
      </w:r>
      <w:r>
        <w:rPr>
          <w:color w:val="0F172A"/>
          <w:sz w:val="19"/>
        </w:rPr>
        <w:t>Self-service onboarding portal protected by 4-digit security PIN set by Super Admin. Captures Corporate Identification Number (CIN), GSTIN, Company PAN, Registered Office Address, Industry Domain, and Website.</w:t>
      </w:r>
    </w:p>
    <w:p>
      <w:pPr>
        <w:pStyle w:val="ListBullet"/>
        <w:spacing w:after="60"/>
      </w:pPr>
      <w:r>
        <w:rPr>
          <w:b/>
          <w:color w:val="1E293B"/>
          <w:sz w:val="19"/>
        </w:rPr>
        <w:t xml:space="preserve">Corporate Statutory Document Vault: </w:t>
      </w:r>
      <w:r>
        <w:rPr>
          <w:color w:val="0F172A"/>
          <w:sz w:val="19"/>
        </w:rPr>
        <w:t>Digital document uploader for Certificate of Incorporation (COI) / MSME Udyam, Company PAN Card, GST Registration Certificate (REG-06), and Board Resolution / Signatory Proof.</w:t>
      </w:r>
    </w:p>
    <w:p>
      <w:pPr>
        <w:pStyle w:val="ListBullet"/>
        <w:spacing w:after="60"/>
      </w:pPr>
      <w:r>
        <w:rPr>
          <w:b/>
          <w:color w:val="1E293B"/>
          <w:sz w:val="19"/>
        </w:rPr>
        <w:t xml:space="preserve">Legal Compliance &amp; DPDP SLA Acceptance: </w:t>
      </w:r>
      <w:r>
        <w:rPr>
          <w:color w:val="0F172A"/>
          <w:sz w:val="19"/>
        </w:rPr>
        <w:t>Digital signatory agreement binding the company to DPDP Act 2023 protocols, explicit employee consent collection, and 7-year statutory audit archiving.</w:t>
      </w:r>
    </w:p>
    <w:p>
      <w:pPr>
        <w:pStyle w:val="ListBullet"/>
        <w:spacing w:after="60"/>
      </w:pPr>
      <w:r>
        <w:rPr>
          <w:b/>
          <w:color w:val="1E293B"/>
          <w:sz w:val="19"/>
        </w:rPr>
        <w:t xml:space="preserve">Verification Pipeline &amp; Feature Modules Toggle: </w:t>
      </w:r>
      <w:r>
        <w:rPr>
          <w:color w:val="0F172A"/>
          <w:sz w:val="19"/>
        </w:rPr>
        <w:t>Company-wide control switches enabling or disabling required checks for candidate links: Aadhaar OTP, Mobile OTP, AI Face Capture, PAN, EPFO UAN, Driving License, Bank Account, Criminal Litigation, and Education.</w:t>
      </w:r>
    </w:p>
    <w:p>
      <w:pPr>
        <w:pStyle w:val="ListBullet"/>
        <w:spacing w:after="60"/>
      </w:pPr>
      <w:r>
        <w:rPr>
          <w:b/>
          <w:color w:val="1E293B"/>
          <w:sz w:val="19"/>
        </w:rPr>
        <w:t xml:space="preserve">HR Recruiter Team &amp; Seat Management: </w:t>
      </w:r>
      <w:r>
        <w:rPr>
          <w:color w:val="0F172A"/>
          <w:sz w:val="19"/>
        </w:rPr>
        <w:t>Provisioning and governance of HR recruitment executives with unique HR Codes (COMP001HR001), seat limits, active link counters, and one-click credential resend.</w:t>
      </w:r>
    </w:p>
    <w:p>
      <w:pPr>
        <w:pStyle w:val="ListBullet"/>
        <w:spacing w:after="60"/>
      </w:pPr>
      <w:r>
        <w:rPr>
          <w:b/>
          <w:color w:val="1E293B"/>
          <w:sz w:val="19"/>
        </w:rPr>
        <w:t xml:space="preserve">Multi-Seat Permission Delegation: </w:t>
      </w:r>
      <w:r>
        <w:rPr>
          <w:color w:val="0F172A"/>
          <w:sz w:val="19"/>
        </w:rPr>
        <w:t>Granular access control per recruiter allowing/revoking: can_create (Create candidates), can_verify (Review &amp; approve), and can_export (Download PDF dossiers &amp; certificates).</w:t>
      </w:r>
    </w:p>
    <w:p>
      <w:pPr>
        <w:pStyle w:val="ListBullet"/>
        <w:spacing w:after="60"/>
      </w:pPr>
      <w:r>
        <w:rPr>
          <w:b/>
          <w:color w:val="1E293B"/>
          <w:sz w:val="19"/>
        </w:rPr>
        <w:t xml:space="preserve">Automated HR Welcome Credentials Dispatch: </w:t>
      </w:r>
      <w:r>
        <w:rPr>
          <w:color w:val="0F172A"/>
          <w:sz w:val="19"/>
        </w:rPr>
        <w:t>Automatically sends branded welcome email to newly created HR recruiters with their HR Profile ID, employer company name, and workstation login URL.</w:t>
      </w:r>
    </w:p>
    <w:p>
      <w:pPr>
        <w:pStyle w:val="ListBullet"/>
        <w:spacing w:after="60"/>
      </w:pPr>
      <w:r>
        <w:rPr>
          <w:b/>
          <w:color w:val="1E293B"/>
          <w:sz w:val="19"/>
        </w:rPr>
        <w:t xml:space="preserve">Company Email Gateway Routing Switch: </w:t>
      </w:r>
      <w:r>
        <w:rPr>
          <w:color w:val="0F172A"/>
          <w:sz w:val="19"/>
        </w:rPr>
        <w:t>Allows choosing between Option A: JOY Master cPanel Mail (admin@joycorporatesolutions.com with company branding) or Option B: Custom Corporate SMTP Server (e.g. Office 365, Google Workspace, SendGrid) for white-labeled candidate delivery.</w:t>
      </w:r>
    </w:p>
    <w:p>
      <w:pPr>
        <w:pStyle w:val="ListBullet"/>
        <w:spacing w:after="60"/>
      </w:pPr>
      <w:r>
        <w:rPr>
          <w:b/>
          <w:color w:val="1E293B"/>
          <w:sz w:val="19"/>
        </w:rPr>
        <w:t xml:space="preserve">Company Notification Automation Rules: </w:t>
      </w:r>
      <w:r>
        <w:rPr>
          <w:color w:val="0F172A"/>
          <w:sz w:val="19"/>
        </w:rPr>
        <w:t>Configurable automated triggers for: New HR Recruiter Created, Candidate 100% Certified, Red-Flag Moonlighting/Litigation Escalation, and Low Wallet Balance / Monthly Invoices.</w:t>
      </w:r>
    </w:p>
    <w:p>
      <w:pPr>
        <w:pStyle w:val="ListBullet"/>
        <w:spacing w:after="60"/>
      </w:pPr>
      <w:r>
        <w:rPr>
          <w:b/>
          <w:color w:val="1E293B"/>
          <w:sz w:val="19"/>
        </w:rPr>
        <w:t xml:space="preserve">B2B Verification Wallet &amp; Razorpay Top-Up: </w:t>
      </w:r>
      <w:r>
        <w:rPr>
          <w:color w:val="0F172A"/>
          <w:sz w:val="19"/>
        </w:rPr>
        <w:t>Live verification credit tracking, auto-deduction per candidate verification, real-time Razorpay checkout modal, and instant credit allotment.</w:t>
      </w:r>
    </w:p>
    <w:p>
      <w:pPr>
        <w:pStyle w:val="ListBullet"/>
        <w:spacing w:after="60"/>
      </w:pPr>
      <w:r>
        <w:rPr>
          <w:b/>
          <w:color w:val="1E293B"/>
          <w:sz w:val="19"/>
        </w:rPr>
        <w:t xml:space="preserve">Document Storage Hub &amp; Labor Compliance Vault: </w:t>
      </w:r>
      <w:r>
        <w:rPr>
          <w:color w:val="0F172A"/>
          <w:sz w:val="19"/>
        </w:rPr>
        <w:t>Categorized document explorer storing generated EPFO Form 11, EPFO Form 2, ESIC Form 1, Gratuity Form F, Candidate ID proofs, and signed declarations.</w:t>
      </w:r>
    </w:p>
    <w:p>
      <w:pPr>
        <w:pStyle w:val="ListBullet"/>
        <w:spacing w:after="60"/>
      </w:pPr>
      <w:r>
        <w:rPr>
          <w:b/>
          <w:color w:val="1E293B"/>
          <w:sz w:val="19"/>
        </w:rPr>
        <w:t xml:space="preserve">Live Candidate Verification Registry &amp; Export Hub: </w:t>
      </w:r>
      <w:r>
        <w:rPr>
          <w:color w:val="0F172A"/>
          <w:sz w:val="19"/>
        </w:rPr>
        <w:t>Live data grid tracking candidate verification status (Pending, In Progress, Verified, Flagged), multi-parameter search, CSV/Excel export, and instant dossier viewer.</w:t>
      </w:r>
    </w:p>
    <w:p>
      <w:pPr>
        <w:pStyle w:val="Heading1"/>
        <w:spacing w:before="320" w:after="120"/>
      </w:pPr>
      <w:r>
        <w:rPr>
          <w:b/>
          <w:color w:val="4338CA"/>
        </w:rPr>
        <w:t>4. 👔 HR Executive Workstation (/hr) — Full Feature Specifications</w:t>
      </w:r>
    </w:p>
    <w:p>
      <w:pPr>
        <w:pStyle w:val="Heading2"/>
        <w:spacing w:before="320" w:after="120"/>
      </w:pPr>
      <w:r>
        <w:rPr>
          <w:b/>
          <w:color w:val="0F172A"/>
        </w:rPr>
        <w:t>👔 HR Recruiter Workstation</w:t>
      </w:r>
    </w:p>
    <w:p>
      <w:pPr>
        <w:spacing w:after="120"/>
      </w:pPr>
      <w:r>
        <w:rPr>
          <w:i/>
          <w:color w:val="64748B"/>
          <w:sz w:val="20"/>
        </w:rPr>
        <w:t>Equips talent acquisition teams with rapid candidate onboarding, live auditing, and instant certification.</w:t>
      </w:r>
    </w:p>
    <w:p>
      <w:pPr>
        <w:pStyle w:val="ListBullet"/>
        <w:spacing w:after="60"/>
      </w:pPr>
      <w:r>
        <w:rPr>
          <w:b/>
          <w:color w:val="1E293B"/>
          <w:sz w:val="19"/>
        </w:rPr>
        <w:t xml:space="preserve">Candidate Onboarding Pipeline &amp; Interactive Profiler: </w:t>
      </w:r>
      <w:r>
        <w:rPr>
          <w:color w:val="0F172A"/>
          <w:sz w:val="19"/>
        </w:rPr>
        <w:t>Real-time candidate workflow tracker organized by onboarding stages: Link Dispatched, In Progress, Verification Passed, and Action Required.</w:t>
      </w:r>
    </w:p>
    <w:p>
      <w:pPr>
        <w:pStyle w:val="ListBullet"/>
        <w:spacing w:after="60"/>
      </w:pPr>
      <w:r>
        <w:rPr>
          <w:b/>
          <w:color w:val="1E293B"/>
          <w:sz w:val="19"/>
        </w:rPr>
        <w:t xml:space="preserve">Instant Candidate Link Dispatcher with 15-Min TTL &amp; 4-Digit PIN: </w:t>
      </w:r>
      <w:r>
        <w:rPr>
          <w:color w:val="0F172A"/>
          <w:sz w:val="19"/>
        </w:rPr>
        <w:t>Generates secure 15-minute tokenized verification links protected by DPDP Act 2023 security PINs (default 1234 or custom PIN set by HR).</w:t>
      </w:r>
    </w:p>
    <w:p>
      <w:pPr>
        <w:pStyle w:val="ListBullet"/>
        <w:spacing w:after="60"/>
      </w:pPr>
      <w:r>
        <w:rPr>
          <w:b/>
          <w:color w:val="1E293B"/>
          <w:sz w:val="19"/>
        </w:rPr>
        <w:t xml:space="preserve">Multi-Channel Candidate Dispatch Hub: </w:t>
      </w:r>
      <w:r>
        <w:rPr>
          <w:color w:val="0F172A"/>
          <w:sz w:val="19"/>
        </w:rPr>
        <w:t>One-click dispatch across Meta WhatsApp Business API, Carrier SMS Gateway, cPanel SMTP Branded Email, and On-Screen Scannable QR Code.</w:t>
      </w:r>
    </w:p>
    <w:p>
      <w:pPr>
        <w:pStyle w:val="ListBullet"/>
        <w:spacing w:after="60"/>
      </w:pPr>
      <w:r>
        <w:rPr>
          <w:b/>
          <w:color w:val="1E293B"/>
          <w:sz w:val="19"/>
        </w:rPr>
        <w:t xml:space="preserve">HR Recruiter Notification &amp; Workstation Preferences: </w:t>
      </w:r>
      <w:r>
        <w:rPr>
          <w:color w:val="0F172A"/>
          <w:sz w:val="19"/>
        </w:rPr>
        <w:t>Personalized recruiter settings: Notification Email, Team Lead CC Email, Recruiter Display Name, and Custom Email Signature appended to candidate invitations.</w:t>
      </w:r>
    </w:p>
    <w:p>
      <w:pPr>
        <w:pStyle w:val="ListBullet"/>
        <w:spacing w:after="60"/>
      </w:pPr>
      <w:r>
        <w:rPr>
          <w:b/>
          <w:color w:val="1E293B"/>
          <w:sz w:val="19"/>
        </w:rPr>
        <w:t xml:space="preserve">Full 7-Section Statutory Joining Form Station: </w:t>
      </w:r>
      <w:r>
        <w:rPr>
          <w:color w:val="0F172A"/>
          <w:sz w:val="19"/>
        </w:rPr>
        <w:t>Comprehensive form disclosures covering: 1. Personal &amp; Contact Details, 2. Identity Documents (Aadhaar/PAN/DL/Voter), 3. Family &amp; Nominee Declarations, 4. EPFO Form 11 (PF Universal Account), 5. EPFO Form 2 (Pension &amp; EDLI Nominees), 6. ESIC Form 1 (ESI Family &amp; Dispensary), 7. Payment of Gratuity Act Form F.</w:t>
      </w:r>
    </w:p>
    <w:p>
      <w:pPr>
        <w:pStyle w:val="ListBullet"/>
        <w:spacing w:after="60"/>
      </w:pPr>
      <w:r>
        <w:rPr>
          <w:b/>
          <w:color w:val="1E293B"/>
          <w:sz w:val="19"/>
        </w:rPr>
        <w:t xml:space="preserve">Real-Time 360° Multi-API Verification Audit: </w:t>
      </w:r>
      <w:r>
        <w:rPr>
          <w:color w:val="0F172A"/>
          <w:sz w:val="19"/>
        </w:rPr>
        <w:t>Direct automated verification against 10+ databases with instant confidence scores: Aadhaar UIDAI match, PAN NSDL status, EPFO Dual-Employment check, Driving License Sarathi, and Bank Account Penny Drop.</w:t>
      </w:r>
    </w:p>
    <w:p>
      <w:pPr>
        <w:pStyle w:val="ListBullet"/>
        <w:spacing w:after="60"/>
      </w:pPr>
      <w:r>
        <w:rPr>
          <w:b/>
          <w:color w:val="1E293B"/>
          <w:sz w:val="19"/>
        </w:rPr>
        <w:t xml:space="preserve">Specimen Signature Verification &amp; Review Station: </w:t>
      </w:r>
      <w:r>
        <w:rPr>
          <w:color w:val="0F172A"/>
          <w:sz w:val="19"/>
        </w:rPr>
        <w:t>Side-by-side inspection of candidate specimen digital signatures with approve/reject controls and compliance watermarks.</w:t>
      </w:r>
    </w:p>
    <w:p>
      <w:pPr>
        <w:pStyle w:val="ListBullet"/>
        <w:spacing w:after="60"/>
      </w:pPr>
      <w:r>
        <w:rPr>
          <w:b/>
          <w:color w:val="1E293B"/>
          <w:sz w:val="19"/>
        </w:rPr>
        <w:t xml:space="preserve">Candidate Correction Request Workflow: </w:t>
      </w:r>
      <w:r>
        <w:rPr>
          <w:color w:val="0F172A"/>
          <w:sz w:val="19"/>
        </w:rPr>
        <w:t>Direct action allowing HR to send targeted correction notices with custom reviewer notes and an instant re-upload magic link.</w:t>
      </w:r>
    </w:p>
    <w:p>
      <w:pPr>
        <w:pStyle w:val="ListBullet"/>
        <w:spacing w:after="60"/>
      </w:pPr>
      <w:r>
        <w:rPr>
          <w:b/>
          <w:color w:val="1E293B"/>
          <w:sz w:val="19"/>
        </w:rPr>
        <w:t xml:space="preserve">Official Background Verification Certificate Generator: </w:t>
      </w:r>
      <w:r>
        <w:rPr>
          <w:color w:val="0F172A"/>
          <w:sz w:val="19"/>
        </w:rPr>
        <w:t>Generates tamper-proof JOY Corporate Solutions Official Verification Certificate with security QR code, unique Verification Hash, 99.6/100 score badge, and authorized compliance seal.</w:t>
      </w:r>
    </w:p>
    <w:p>
      <w:pPr>
        <w:pStyle w:val="ListBullet"/>
        <w:spacing w:after="60"/>
      </w:pPr>
      <w:r>
        <w:rPr>
          <w:b/>
          <w:color w:val="1E293B"/>
          <w:sz w:val="19"/>
        </w:rPr>
        <w:t xml:space="preserve">Master 360° Multi-API BGV Dossier PDF Export: </w:t>
      </w:r>
      <w:r>
        <w:rPr>
          <w:color w:val="0F172A"/>
          <w:sz w:val="19"/>
        </w:rPr>
        <w:t>Executive 7-page PDF dossier generator embedding live API audit logs, statutory declarations, biometric face match exhibits, and full-resolution original KYC document scans.</w:t>
      </w:r>
    </w:p>
    <w:p>
      <w:pPr>
        <w:pStyle w:val="Heading1"/>
        <w:spacing w:before="320" w:after="120"/>
      </w:pPr>
      <w:r>
        <w:rPr>
          <w:b/>
          <w:color w:val="4338CA"/>
        </w:rPr>
        <w:t>5. 📱 Candidate Self-Onboarding Portal (/verify) — Full Feature Specifications</w:t>
      </w:r>
    </w:p>
    <w:p>
      <w:pPr>
        <w:pStyle w:val="Heading2"/>
        <w:spacing w:before="320" w:after="120"/>
      </w:pPr>
      <w:r>
        <w:rPr>
          <w:b/>
          <w:color w:val="0F172A"/>
        </w:rPr>
        <w:t>📱 Candidate Mobile/Web Portal</w:t>
      </w:r>
    </w:p>
    <w:p>
      <w:pPr>
        <w:spacing w:after="120"/>
      </w:pPr>
      <w:r>
        <w:rPr>
          <w:i/>
          <w:color w:val="64748B"/>
          <w:sz w:val="20"/>
        </w:rPr>
        <w:t>Frictionless, 2-minute candidate onboarding experience with bank-grade security.</w:t>
      </w:r>
    </w:p>
    <w:p>
      <w:pPr>
        <w:pStyle w:val="ListBullet"/>
        <w:spacing w:after="60"/>
      </w:pPr>
      <w:r>
        <w:rPr>
          <w:b/>
          <w:color w:val="1E293B"/>
          <w:sz w:val="19"/>
        </w:rPr>
        <w:t xml:space="preserve">DPDP Act 2023 4-Digit Security PIN Lock Screen: </w:t>
      </w:r>
      <w:r>
        <w:rPr>
          <w:color w:val="0F172A"/>
          <w:sz w:val="19"/>
        </w:rPr>
        <w:t>Strict mandatory security lock screen requiring the exact 4-digit PIN sent via Email/SMS to unlock the verification link.</w:t>
      </w:r>
    </w:p>
    <w:p>
      <w:pPr>
        <w:pStyle w:val="ListBullet"/>
        <w:spacing w:after="60"/>
      </w:pPr>
      <w:r>
        <w:rPr>
          <w:b/>
          <w:color w:val="1E293B"/>
          <w:sz w:val="19"/>
        </w:rPr>
        <w:t xml:space="preserve">Digital Consent &amp; Privacy Agreement Gate: </w:t>
      </w:r>
      <w:r>
        <w:rPr>
          <w:color w:val="0F172A"/>
          <w:sz w:val="19"/>
        </w:rPr>
        <w:t>Explicit digital consent capture under Section 6 of the DPDP Act 2023 before any identity queries are executed.</w:t>
      </w:r>
    </w:p>
    <w:p>
      <w:pPr>
        <w:pStyle w:val="ListBullet"/>
        <w:spacing w:after="60"/>
      </w:pPr>
      <w:r>
        <w:rPr>
          <w:b/>
          <w:color w:val="1E293B"/>
          <w:sz w:val="19"/>
        </w:rPr>
        <w:t xml:space="preserve">Aadhaar OTP Instant Verification &amp; Auto-Fill: </w:t>
      </w:r>
      <w:r>
        <w:rPr>
          <w:color w:val="0F172A"/>
          <w:sz w:val="19"/>
        </w:rPr>
        <w:t>Direct Aadhaar OTP authentication auto-populating candidate legal name, date of birth, gender, and full permanent address.</w:t>
      </w:r>
    </w:p>
    <w:p>
      <w:pPr>
        <w:pStyle w:val="ListBullet"/>
        <w:spacing w:after="60"/>
      </w:pPr>
      <w:r>
        <w:rPr>
          <w:b/>
          <w:color w:val="1E293B"/>
          <w:sz w:val="19"/>
        </w:rPr>
        <w:t xml:space="preserve">NSDL PAN Verification &amp; Tax Cross-Check: </w:t>
      </w:r>
      <w:r>
        <w:rPr>
          <w:color w:val="0F172A"/>
          <w:sz w:val="19"/>
        </w:rPr>
        <w:t>Real-time PAN validity verification checking active status, name match score, and Aadhaar-PAN seeding status.</w:t>
      </w:r>
    </w:p>
    <w:p>
      <w:pPr>
        <w:pStyle w:val="ListBullet"/>
        <w:spacing w:after="60"/>
      </w:pPr>
      <w:r>
        <w:rPr>
          <w:b/>
          <w:color w:val="1E293B"/>
          <w:sz w:val="19"/>
        </w:rPr>
        <w:t xml:space="preserve">EPFO UAN Dual-Employment &amp; Moonlighting Scanner: </w:t>
      </w:r>
      <w:r>
        <w:rPr>
          <w:color w:val="0F172A"/>
          <w:sz w:val="19"/>
        </w:rPr>
        <w:t>Automatic discovery of previous Member IDs, PF contribution history, dual concurrent employment detection, and anti-moonlighting clearance.</w:t>
      </w:r>
    </w:p>
    <w:p>
      <w:pPr>
        <w:pStyle w:val="ListBullet"/>
        <w:spacing w:after="60"/>
      </w:pPr>
      <w:r>
        <w:rPr>
          <w:b/>
          <w:color w:val="1E293B"/>
          <w:sz w:val="19"/>
        </w:rPr>
        <w:t xml:space="preserve">AI Face Liveness &amp; Biometric Face Match (Webcam): </w:t>
      </w:r>
      <w:r>
        <w:rPr>
          <w:color w:val="0F172A"/>
          <w:sz w:val="19"/>
        </w:rPr>
        <w:t>Live webcam capture executing 3D liveness detection (blink/head turn) and facial feature vector matching against Aadhaar photo (confidence &gt; 95%).</w:t>
      </w:r>
    </w:p>
    <w:p>
      <w:pPr>
        <w:pStyle w:val="ListBullet"/>
        <w:spacing w:after="60"/>
      </w:pPr>
      <w:r>
        <w:rPr>
          <w:b/>
          <w:color w:val="1E293B"/>
          <w:sz w:val="19"/>
        </w:rPr>
        <w:t xml:space="preserve">Touch-Screen Digital Signature Pad: </w:t>
      </w:r>
      <w:r>
        <w:rPr>
          <w:color w:val="0F172A"/>
          <w:sz w:val="19"/>
        </w:rPr>
        <w:t>Integrated HTML5 canvas digital signature pad allowing candidates to draw their official specimen signature directly on mobile or desktop.</w:t>
      </w:r>
    </w:p>
    <w:p>
      <w:pPr>
        <w:pStyle w:val="ListBullet"/>
        <w:spacing w:after="60"/>
      </w:pPr>
      <w:r>
        <w:rPr>
          <w:b/>
          <w:color w:val="1E293B"/>
          <w:sz w:val="19"/>
        </w:rPr>
        <w:t xml:space="preserve">7-Section Statutory Form Submission: </w:t>
      </w:r>
      <w:r>
        <w:rPr>
          <w:color w:val="0F172A"/>
          <w:sz w:val="19"/>
        </w:rPr>
        <w:t>Streamlined mobile-responsive form interface for entering EPFO Form 11 declarations, nominee percentage allocations, and ESIC dispensary preferences.</w:t>
      </w:r>
    </w:p>
    <w:p>
      <w:pPr>
        <w:pStyle w:val="ListBullet"/>
        <w:spacing w:after="60"/>
      </w:pPr>
      <w:r>
        <w:rPr>
          <w:b/>
          <w:color w:val="1E293B"/>
          <w:sz w:val="19"/>
        </w:rPr>
        <w:t xml:space="preserve">KYC Document Upload Vault: </w:t>
      </w:r>
      <w:r>
        <w:rPr>
          <w:color w:val="0F172A"/>
          <w:sz w:val="19"/>
        </w:rPr>
        <w:t>Secure file uploader for attaching physical Aadhaar card, PAN card, Cancelled Cheque / Bank Passbook, and Degree Certificates.</w:t>
      </w:r>
    </w:p>
    <w:p>
      <w:pPr>
        <w:pStyle w:val="ListBullet"/>
        <w:spacing w:after="60"/>
      </w:pPr>
      <w:r>
        <w:rPr>
          <w:b/>
          <w:color w:val="1E293B"/>
          <w:sz w:val="19"/>
        </w:rPr>
        <w:t xml:space="preserve">Instant Confirmation &amp; Status Tracker: </w:t>
      </w:r>
      <w:r>
        <w:rPr>
          <w:color w:val="0F172A"/>
          <w:sz w:val="19"/>
        </w:rPr>
        <w:t>Real-time submission confirmation screen displaying verification reference ID, estimated audit completion time, and download receipt.</w:t>
      </w:r>
    </w:p>
    <w:p>
      <w:pPr>
        <w:pStyle w:val="Heading1"/>
        <w:spacing w:before="320" w:after="120"/>
      </w:pPr>
      <w:r>
        <w:rPr>
          <w:b/>
          <w:color w:val="4338CA"/>
        </w:rPr>
        <w:t>6. End-to-End Operational Workflows &amp; Lifecycle Diagrams</w:t>
      </w:r>
    </w:p>
    <w:p>
      <w:r>
        <w:t>The JOY Verification ecosystem orchestrates four primary operational workflows to guarantee data integrity, instant turnaround time (TAT &lt; 120 seconds), and regulatory audit readiness.</w:t>
      </w:r>
    </w:p>
    <w:tbl>
      <w:tblPr>
        <w:tblW w:type="auto" w:w="0"/>
        <w:jc w:val="center"/>
        <w:tblLook w:firstColumn="1" w:firstRow="1" w:lastColumn="0" w:lastRow="0" w:noHBand="0" w:noVBand="1" w:val="04A0"/>
      </w:tblPr>
      <w:tblGrid>
        <w:gridCol w:w="4680"/>
        <w:gridCol w:w="4680"/>
      </w:tblGrid>
      <w:tr>
        <w:tc>
          <w:tcPr>
            <w:tcW w:type="dxa" w:w="2160"/>
            <w:shd w:fill="EEF2FF"/>
            <w:tcMar>
              <w:top w:w="60" w:type="dxa"/>
              <w:bottom w:w="60" w:type="dxa"/>
              <w:left w:w="80" w:type="dxa"/>
              <w:right w:w="80" w:type="dxa"/>
            </w:tcMar>
          </w:tcPr>
          <w:p>
            <w:r>
              <w:rPr>
                <w:b/>
                <w:color w:val="4338CA"/>
                <w:sz w:val="18"/>
              </w:rPr>
              <w:t>Phase 1: Super Admin Onboarding</w:t>
            </w:r>
          </w:p>
        </w:tc>
        <w:tc>
          <w:tcPr>
            <w:tcW w:type="dxa" w:w="7200"/>
            <w:shd w:fill="FFFFFF"/>
            <w:tcMar>
              <w:top w:w="60" w:type="dxa"/>
              <w:bottom w:w="60" w:type="dxa"/>
              <w:left w:w="80" w:type="dxa"/>
              <w:right w:w="80" w:type="dxa"/>
            </w:tcMar>
          </w:tcPr>
          <w:p>
            <w:r>
              <w:rPr>
                <w:color w:val="0F172A"/>
                <w:sz w:val="18"/>
              </w:rPr>
              <w:t>Super Admin registers company on /superadmin with name, contact, email, password, plan, credits, and expiry window.</w:t>
            </w:r>
          </w:p>
        </w:tc>
      </w:tr>
      <w:tr>
        <w:tc>
          <w:tcPr>
            <w:tcW w:type="dxa" w:w="2160"/>
            <w:shd w:fill="F8FAFC"/>
            <w:tcMar>
              <w:top w:w="60" w:type="dxa"/>
              <w:bottom w:w="60" w:type="dxa"/>
              <w:left w:w="80" w:type="dxa"/>
              <w:right w:w="80" w:type="dxa"/>
            </w:tcMar>
          </w:tcPr>
          <w:p>
            <w:r>
              <w:rPr>
                <w:b/>
                <w:color w:val="4338CA"/>
                <w:sz w:val="18"/>
              </w:rPr>
              <w:t>Phase 2: Token Generation</w:t>
            </w:r>
          </w:p>
        </w:tc>
        <w:tc>
          <w:tcPr>
            <w:tcW w:type="dxa" w:w="7200"/>
            <w:shd w:fill="F8FAFC"/>
            <w:tcMar>
              <w:top w:w="60" w:type="dxa"/>
              <w:bottom w:w="60" w:type="dxa"/>
              <w:left w:w="80" w:type="dxa"/>
              <w:right w:w="80" w:type="dxa"/>
            </w:tcMar>
          </w:tcPr>
          <w:p>
            <w:r>
              <w:rPr>
                <w:color w:val="0F172A"/>
                <w:sz w:val="18"/>
              </w:rPr>
              <w:t>Backend provisions Company ID (COMP001), unique activation token (comp_act_...), and hashes the security password in PostgreSQL.</w:t>
            </w:r>
          </w:p>
        </w:tc>
      </w:tr>
      <w:tr>
        <w:tc>
          <w:tcPr>
            <w:tcW w:type="dxa" w:w="2160"/>
            <w:shd w:fill="EEF2FF"/>
            <w:tcMar>
              <w:top w:w="60" w:type="dxa"/>
              <w:bottom w:w="60" w:type="dxa"/>
              <w:left w:w="80" w:type="dxa"/>
              <w:right w:w="80" w:type="dxa"/>
            </w:tcMar>
          </w:tcPr>
          <w:p>
            <w:r>
              <w:rPr>
                <w:b/>
                <w:color w:val="4338CA"/>
                <w:sz w:val="18"/>
              </w:rPr>
              <w:t>Phase 3: Multi-Channel Dispatch</w:t>
            </w:r>
          </w:p>
        </w:tc>
        <w:tc>
          <w:tcPr>
            <w:tcW w:type="dxa" w:w="7200"/>
            <w:shd w:fill="FFFFFF"/>
            <w:tcMar>
              <w:top w:w="60" w:type="dxa"/>
              <w:bottom w:w="60" w:type="dxa"/>
              <w:left w:w="80" w:type="dxa"/>
              <w:right w:w="80" w:type="dxa"/>
            </w:tcMar>
          </w:tcPr>
          <w:p>
            <w:r>
              <w:rPr>
                <w:color w:val="0F172A"/>
                <w:sz w:val="18"/>
              </w:rPr>
              <w:t>Activation link &amp; password dispatched via cPanel SMTP Email (HTML template), Carrier SMS, or Scannable QR Code.</w:t>
            </w:r>
          </w:p>
        </w:tc>
      </w:tr>
      <w:tr>
        <w:tc>
          <w:tcPr>
            <w:tcW w:type="dxa" w:w="2160"/>
            <w:shd w:fill="F8FAFC"/>
            <w:tcMar>
              <w:top w:w="60" w:type="dxa"/>
              <w:bottom w:w="60" w:type="dxa"/>
              <w:left w:w="80" w:type="dxa"/>
              <w:right w:w="80" w:type="dxa"/>
            </w:tcMar>
          </w:tcPr>
          <w:p>
            <w:r>
              <w:rPr>
                <w:b/>
                <w:color w:val="4338CA"/>
                <w:sz w:val="18"/>
              </w:rPr>
              <w:t>Phase 4: Company PIN Unlock</w:t>
            </w:r>
          </w:p>
        </w:tc>
        <w:tc>
          <w:tcPr>
            <w:tcW w:type="dxa" w:w="7200"/>
            <w:shd w:fill="F8FAFC"/>
            <w:tcMar>
              <w:top w:w="60" w:type="dxa"/>
              <w:bottom w:w="60" w:type="dxa"/>
              <w:left w:w="80" w:type="dxa"/>
              <w:right w:w="80" w:type="dxa"/>
            </w:tcMar>
          </w:tcPr>
          <w:p>
            <w:r>
              <w:rPr>
                <w:color w:val="0F172A"/>
                <w:sz w:val="18"/>
              </w:rPr>
              <w:t>Company Admin opens /company-activation?token=... and enters the security PIN to unlock the corporate portal.</w:t>
            </w:r>
          </w:p>
        </w:tc>
      </w:tr>
      <w:tr>
        <w:tc>
          <w:tcPr>
            <w:tcW w:type="dxa" w:w="2160"/>
            <w:shd w:fill="EEF2FF"/>
            <w:tcMar>
              <w:top w:w="60" w:type="dxa"/>
              <w:bottom w:w="60" w:type="dxa"/>
              <w:left w:w="80" w:type="dxa"/>
              <w:right w:w="80" w:type="dxa"/>
            </w:tcMar>
          </w:tcPr>
          <w:p>
            <w:r>
              <w:rPr>
                <w:b/>
                <w:color w:val="4338CA"/>
                <w:sz w:val="18"/>
              </w:rPr>
              <w:t>Phase 5: Self-Activation Form</w:t>
            </w:r>
          </w:p>
        </w:tc>
        <w:tc>
          <w:tcPr>
            <w:tcW w:type="dxa" w:w="7200"/>
            <w:shd w:fill="FFFFFF"/>
            <w:tcMar>
              <w:top w:w="60" w:type="dxa"/>
              <w:bottom w:w="60" w:type="dxa"/>
              <w:left w:w="80" w:type="dxa"/>
              <w:right w:w="80" w:type="dxa"/>
            </w:tcMar>
          </w:tcPr>
          <w:p>
            <w:r>
              <w:rPr>
                <w:color w:val="0F172A"/>
                <w:sz w:val="18"/>
              </w:rPr>
              <w:t>Company Admin enters CIN, GSTIN, Company PAN, registered address, uploads COI/PAN/GST certificates, and accepts DPDP SLA terms.</w:t>
            </w:r>
          </w:p>
        </w:tc>
      </w:tr>
      <w:tr>
        <w:tc>
          <w:tcPr>
            <w:tcW w:type="dxa" w:w="2160"/>
            <w:shd w:fill="F8FAFC"/>
            <w:tcMar>
              <w:top w:w="60" w:type="dxa"/>
              <w:bottom w:w="60" w:type="dxa"/>
              <w:left w:w="80" w:type="dxa"/>
              <w:right w:w="80" w:type="dxa"/>
            </w:tcMar>
          </w:tcPr>
          <w:p>
            <w:r>
              <w:rPr>
                <w:b/>
                <w:color w:val="4338CA"/>
                <w:sz w:val="18"/>
              </w:rPr>
              <w:t>Phase 6: Status Activation 🟢</w:t>
            </w:r>
          </w:p>
        </w:tc>
        <w:tc>
          <w:tcPr>
            <w:tcW w:type="dxa" w:w="7200"/>
            <w:shd w:fill="F8FAFC"/>
            <w:tcMar>
              <w:top w:w="60" w:type="dxa"/>
              <w:bottom w:w="60" w:type="dxa"/>
              <w:left w:w="80" w:type="dxa"/>
              <w:right w:w="80" w:type="dxa"/>
            </w:tcMar>
          </w:tcPr>
          <w:p>
            <w:r>
              <w:rPr>
                <w:color w:val="0F172A"/>
                <w:sz w:val="18"/>
              </w:rPr>
              <w:t>Company status transitions to Active 🟢, credit balance initialized, and Company Admin enters the dashboard.</w:t>
            </w:r>
          </w:p>
        </w:tc>
      </w:tr>
    </w:tbl>
    <w:p>
      <w:pPr>
        <w:spacing w:after="200"/>
      </w:pPr>
    </w:p>
    <w:p>
      <w:pPr>
        <w:pStyle w:val="Heading1"/>
        <w:spacing w:before="320" w:after="120"/>
      </w:pPr>
      <w:r>
        <w:rPr>
          <w:b/>
          <w:color w:val="4338CA"/>
        </w:rPr>
        <w:t>7. Multi-Tenant cPanel Email &amp; Automated Notification Pipeline</w:t>
      </w:r>
    </w:p>
    <w:p>
      <w:r>
        <w:t>All outbound emails are dispatched via cPanel SMTP (mail.joycorporatesolutions.com) using rich, responsive HTML templates featuring dark header strips, organization branding, ISO 27001 trust badges, and direct action buttons.</w:t>
      </w:r>
    </w:p>
    <w:tbl>
      <w:tblPr>
        <w:tblW w:type="auto" w:w="0"/>
        <w:jc w:val="center"/>
        <w:tblLook w:firstColumn="1" w:firstRow="1" w:lastColumn="0" w:lastRow="0" w:noHBand="0" w:noVBand="1" w:val="04A0"/>
      </w:tblPr>
      <w:tblGrid>
        <w:gridCol w:w="2340"/>
        <w:gridCol w:w="2340"/>
        <w:gridCol w:w="2340"/>
        <w:gridCol w:w="2340"/>
      </w:tblGrid>
      <w:tr>
        <w:tc>
          <w:tcPr>
            <w:tcW w:type="dxa" w:w="2160"/>
            <w:shd w:fill="1E293B"/>
            <w:tcMar>
              <w:top w:w="80" w:type="dxa"/>
              <w:bottom w:w="80" w:type="dxa"/>
              <w:left w:w="100" w:type="dxa"/>
              <w:right w:w="100" w:type="dxa"/>
            </w:tcMar>
          </w:tcPr>
          <w:p>
            <w:r>
              <w:rPr>
                <w:b/>
                <w:color w:val="FFFFFF"/>
                <w:sz w:val="18"/>
              </w:rPr>
              <w:t>Notification Event</w:t>
            </w:r>
          </w:p>
        </w:tc>
        <w:tc>
          <w:tcPr>
            <w:tcW w:type="dxa" w:w="1872"/>
            <w:shd w:fill="1E293B"/>
            <w:tcMar>
              <w:top w:w="80" w:type="dxa"/>
              <w:bottom w:w="80" w:type="dxa"/>
              <w:left w:w="100" w:type="dxa"/>
              <w:right w:w="100" w:type="dxa"/>
            </w:tcMar>
          </w:tcPr>
          <w:p>
            <w:r>
              <w:rPr>
                <w:b/>
                <w:color w:val="FFFFFF"/>
                <w:sz w:val="18"/>
              </w:rPr>
              <w:t>Originating Actor</w:t>
            </w:r>
          </w:p>
        </w:tc>
        <w:tc>
          <w:tcPr>
            <w:tcW w:type="dxa" w:w="2592"/>
            <w:shd w:fill="1E293B"/>
            <w:tcMar>
              <w:top w:w="80" w:type="dxa"/>
              <w:bottom w:w="80" w:type="dxa"/>
              <w:left w:w="100" w:type="dxa"/>
              <w:right w:w="100" w:type="dxa"/>
            </w:tcMar>
          </w:tcPr>
          <w:p>
            <w:r>
              <w:rPr>
                <w:b/>
                <w:color w:val="FFFFFF"/>
                <w:sz w:val="18"/>
              </w:rPr>
              <w:t>Recipient(s)</w:t>
            </w:r>
          </w:p>
        </w:tc>
        <w:tc>
          <w:tcPr>
            <w:tcW w:type="dxa" w:w="2736"/>
            <w:shd w:fill="1E293B"/>
            <w:tcMar>
              <w:top w:w="80" w:type="dxa"/>
              <w:bottom w:w="80" w:type="dxa"/>
              <w:left w:w="100" w:type="dxa"/>
              <w:right w:w="100" w:type="dxa"/>
            </w:tcMar>
          </w:tcPr>
          <w:p>
            <w:r>
              <w:rPr>
                <w:b/>
                <w:color w:val="FFFFFF"/>
                <w:sz w:val="18"/>
              </w:rPr>
              <w:t>Key Payload &amp; Action</w:t>
            </w:r>
          </w:p>
        </w:tc>
      </w:tr>
      <w:tr>
        <w:tc>
          <w:tcPr>
            <w:tcW w:type="dxa" w:w="2160"/>
            <w:shd w:fill="F8FAFC"/>
            <w:tcMar>
              <w:top w:w="60" w:type="dxa"/>
              <w:bottom w:w="60" w:type="dxa"/>
              <w:left w:w="80" w:type="dxa"/>
              <w:right w:w="80" w:type="dxa"/>
            </w:tcMar>
          </w:tcPr>
          <w:p>
            <w:r>
              <w:rPr>
                <w:b/>
                <w:color w:val="0F172A"/>
                <w:sz w:val="17"/>
              </w:rPr>
              <w:t>🏢 Company Creation Welcome</w:t>
            </w:r>
          </w:p>
        </w:tc>
        <w:tc>
          <w:tcPr>
            <w:tcW w:type="dxa" w:w="1872"/>
            <w:shd w:fill="F8FAFC"/>
            <w:tcMar>
              <w:top w:w="60" w:type="dxa"/>
              <w:bottom w:w="60" w:type="dxa"/>
              <w:left w:w="80" w:type="dxa"/>
              <w:right w:w="80" w:type="dxa"/>
            </w:tcMar>
          </w:tcPr>
          <w:p>
            <w:r>
              <w:rPr>
                <w:color w:val="0F172A"/>
                <w:sz w:val="17"/>
              </w:rPr>
              <w:t>Super Admin</w:t>
            </w:r>
          </w:p>
        </w:tc>
        <w:tc>
          <w:tcPr>
            <w:tcW w:type="dxa" w:w="2592"/>
            <w:shd w:fill="F8FAFC"/>
            <w:tcMar>
              <w:top w:w="60" w:type="dxa"/>
              <w:bottom w:w="60" w:type="dxa"/>
              <w:left w:w="80" w:type="dxa"/>
              <w:right w:w="80" w:type="dxa"/>
            </w:tcMar>
          </w:tcPr>
          <w:p>
            <w:r>
              <w:rPr>
                <w:color w:val="0F172A"/>
                <w:sz w:val="17"/>
              </w:rPr>
              <w:t>Company Admin</w:t>
            </w:r>
          </w:p>
        </w:tc>
        <w:tc>
          <w:tcPr>
            <w:tcW w:type="dxa" w:w="2736"/>
            <w:shd w:fill="F8FAFC"/>
            <w:tcMar>
              <w:top w:w="60" w:type="dxa"/>
              <w:bottom w:w="60" w:type="dxa"/>
              <w:left w:w="80" w:type="dxa"/>
              <w:right w:w="80" w:type="dxa"/>
            </w:tcMar>
          </w:tcPr>
          <w:p>
            <w:r>
              <w:rPr>
                <w:color w:val="0F172A"/>
                <w:sz w:val="17"/>
              </w:rPr>
              <w:t>Company ID (COMP001), Login Email, Security Password, and Activation Link.</w:t>
            </w:r>
          </w:p>
        </w:tc>
      </w:tr>
      <w:tr>
        <w:tc>
          <w:tcPr>
            <w:tcW w:type="dxa" w:w="2160"/>
            <w:shd w:fill="FFFFFF"/>
            <w:tcMar>
              <w:top w:w="60" w:type="dxa"/>
              <w:bottom w:w="60" w:type="dxa"/>
              <w:left w:w="80" w:type="dxa"/>
              <w:right w:w="80" w:type="dxa"/>
            </w:tcMar>
          </w:tcPr>
          <w:p>
            <w:r>
              <w:rPr>
                <w:b/>
                <w:color w:val="0F172A"/>
                <w:sz w:val="17"/>
              </w:rPr>
              <w:t>👔 HR Recruiter Setup</w:t>
            </w:r>
          </w:p>
        </w:tc>
        <w:tc>
          <w:tcPr>
            <w:tcW w:type="dxa" w:w="1872"/>
            <w:shd w:fill="FFFFFF"/>
            <w:tcMar>
              <w:top w:w="60" w:type="dxa"/>
              <w:bottom w:w="60" w:type="dxa"/>
              <w:left w:w="80" w:type="dxa"/>
              <w:right w:w="80" w:type="dxa"/>
            </w:tcMar>
          </w:tcPr>
          <w:p>
            <w:r>
              <w:rPr>
                <w:color w:val="0F172A"/>
                <w:sz w:val="17"/>
              </w:rPr>
              <w:t>Company Admin</w:t>
            </w:r>
          </w:p>
        </w:tc>
        <w:tc>
          <w:tcPr>
            <w:tcW w:type="dxa" w:w="2592"/>
            <w:shd w:fill="FFFFFF"/>
            <w:tcMar>
              <w:top w:w="60" w:type="dxa"/>
              <w:bottom w:w="60" w:type="dxa"/>
              <w:left w:w="80" w:type="dxa"/>
              <w:right w:w="80" w:type="dxa"/>
            </w:tcMar>
          </w:tcPr>
          <w:p>
            <w:r>
              <w:rPr>
                <w:color w:val="0F172A"/>
                <w:sz w:val="17"/>
              </w:rPr>
              <w:t>HR Recruiter</w:t>
            </w:r>
          </w:p>
        </w:tc>
        <w:tc>
          <w:tcPr>
            <w:tcW w:type="dxa" w:w="2736"/>
            <w:shd w:fill="FFFFFF"/>
            <w:tcMar>
              <w:top w:w="60" w:type="dxa"/>
              <w:bottom w:w="60" w:type="dxa"/>
              <w:left w:w="80" w:type="dxa"/>
              <w:right w:w="80" w:type="dxa"/>
            </w:tcMar>
          </w:tcPr>
          <w:p>
            <w:r>
              <w:rPr>
                <w:color w:val="0F172A"/>
                <w:sz w:val="17"/>
              </w:rPr>
              <w:t>HR ID (COMP001HR001), Employer Company, Workstation Password &amp; Login URL.</w:t>
            </w:r>
          </w:p>
        </w:tc>
      </w:tr>
      <w:tr>
        <w:tc>
          <w:tcPr>
            <w:tcW w:type="dxa" w:w="2160"/>
            <w:shd w:fill="F8FAFC"/>
            <w:tcMar>
              <w:top w:w="60" w:type="dxa"/>
              <w:bottom w:w="60" w:type="dxa"/>
              <w:left w:w="80" w:type="dxa"/>
              <w:right w:w="80" w:type="dxa"/>
            </w:tcMar>
          </w:tcPr>
          <w:p>
            <w:r>
              <w:rPr>
                <w:b/>
                <w:color w:val="0F172A"/>
                <w:sz w:val="17"/>
              </w:rPr>
              <w:t>📱 Candidate Onboarding Link</w:t>
            </w:r>
          </w:p>
        </w:tc>
        <w:tc>
          <w:tcPr>
            <w:tcW w:type="dxa" w:w="1872"/>
            <w:shd w:fill="F8FAFC"/>
            <w:tcMar>
              <w:top w:w="60" w:type="dxa"/>
              <w:bottom w:w="60" w:type="dxa"/>
              <w:left w:w="80" w:type="dxa"/>
              <w:right w:w="80" w:type="dxa"/>
            </w:tcMar>
          </w:tcPr>
          <w:p>
            <w:r>
              <w:rPr>
                <w:color w:val="0F172A"/>
                <w:sz w:val="17"/>
              </w:rPr>
              <w:t>HR Executive</w:t>
            </w:r>
          </w:p>
        </w:tc>
        <w:tc>
          <w:tcPr>
            <w:tcW w:type="dxa" w:w="2592"/>
            <w:shd w:fill="F8FAFC"/>
            <w:tcMar>
              <w:top w:w="60" w:type="dxa"/>
              <w:bottom w:w="60" w:type="dxa"/>
              <w:left w:w="80" w:type="dxa"/>
              <w:right w:w="80" w:type="dxa"/>
            </w:tcMar>
          </w:tcPr>
          <w:p>
            <w:r>
              <w:rPr>
                <w:color w:val="0F172A"/>
                <w:sz w:val="17"/>
              </w:rPr>
              <w:t>Candidate</w:t>
            </w:r>
          </w:p>
        </w:tc>
        <w:tc>
          <w:tcPr>
            <w:tcW w:type="dxa" w:w="2736"/>
            <w:shd w:fill="F8FAFC"/>
            <w:tcMar>
              <w:top w:w="60" w:type="dxa"/>
              <w:bottom w:w="60" w:type="dxa"/>
              <w:left w:w="80" w:type="dxa"/>
              <w:right w:w="80" w:type="dxa"/>
            </w:tcMar>
          </w:tcPr>
          <w:p>
            <w:r>
              <w:rPr>
                <w:color w:val="0F172A"/>
                <w:sz w:val="17"/>
              </w:rPr>
              <w:t>15-Minute Magic Link, 4-Digit Security PIN, and Document Checklist.</w:t>
            </w:r>
          </w:p>
        </w:tc>
      </w:tr>
      <w:tr>
        <w:tc>
          <w:tcPr>
            <w:tcW w:type="dxa" w:w="2160"/>
            <w:shd w:fill="FFFFFF"/>
            <w:tcMar>
              <w:top w:w="60" w:type="dxa"/>
              <w:bottom w:w="60" w:type="dxa"/>
              <w:left w:w="80" w:type="dxa"/>
              <w:right w:w="80" w:type="dxa"/>
            </w:tcMar>
          </w:tcPr>
          <w:p>
            <w:r>
              <w:rPr>
                <w:b/>
                <w:color w:val="0F172A"/>
                <w:sz w:val="17"/>
              </w:rPr>
              <w:t>✅ 360° Verification Certified</w:t>
            </w:r>
          </w:p>
        </w:tc>
        <w:tc>
          <w:tcPr>
            <w:tcW w:type="dxa" w:w="1872"/>
            <w:shd w:fill="FFFFFF"/>
            <w:tcMar>
              <w:top w:w="60" w:type="dxa"/>
              <w:bottom w:w="60" w:type="dxa"/>
              <w:left w:w="80" w:type="dxa"/>
              <w:right w:w="80" w:type="dxa"/>
            </w:tcMar>
          </w:tcPr>
          <w:p>
            <w:r>
              <w:rPr>
                <w:color w:val="0F172A"/>
                <w:sz w:val="17"/>
              </w:rPr>
              <w:t>System Engine</w:t>
            </w:r>
          </w:p>
        </w:tc>
        <w:tc>
          <w:tcPr>
            <w:tcW w:type="dxa" w:w="2592"/>
            <w:shd w:fill="FFFFFF"/>
            <w:tcMar>
              <w:top w:w="60" w:type="dxa"/>
              <w:bottom w:w="60" w:type="dxa"/>
              <w:left w:w="80" w:type="dxa"/>
              <w:right w:w="80" w:type="dxa"/>
            </w:tcMar>
          </w:tcPr>
          <w:p>
            <w:r>
              <w:rPr>
                <w:color w:val="0F172A"/>
                <w:sz w:val="17"/>
              </w:rPr>
              <w:t>Candidate &amp; HR</w:t>
            </w:r>
          </w:p>
        </w:tc>
        <w:tc>
          <w:tcPr>
            <w:tcW w:type="dxa" w:w="2736"/>
            <w:shd w:fill="FFFFFF"/>
            <w:tcMar>
              <w:top w:w="60" w:type="dxa"/>
              <w:bottom w:w="60" w:type="dxa"/>
              <w:left w:w="80" w:type="dxa"/>
              <w:right w:w="80" w:type="dxa"/>
            </w:tcMar>
          </w:tcPr>
          <w:p>
            <w:r>
              <w:rPr>
                <w:color w:val="0F172A"/>
                <w:sz w:val="17"/>
              </w:rPr>
              <w:t>100% Passed Confirmation, Verification Score (99.6/100), and Dossier link.</w:t>
            </w:r>
          </w:p>
        </w:tc>
      </w:tr>
      <w:tr>
        <w:tc>
          <w:tcPr>
            <w:tcW w:type="dxa" w:w="2160"/>
            <w:shd w:fill="F8FAFC"/>
            <w:tcMar>
              <w:top w:w="60" w:type="dxa"/>
              <w:bottom w:w="60" w:type="dxa"/>
              <w:left w:w="80" w:type="dxa"/>
              <w:right w:w="80" w:type="dxa"/>
            </w:tcMar>
          </w:tcPr>
          <w:p>
            <w:r>
              <w:rPr>
                <w:b/>
                <w:color w:val="0F172A"/>
                <w:sz w:val="17"/>
              </w:rPr>
              <w:t>🔄 HR Correction Request</w:t>
            </w:r>
          </w:p>
        </w:tc>
        <w:tc>
          <w:tcPr>
            <w:tcW w:type="dxa" w:w="1872"/>
            <w:shd w:fill="F8FAFC"/>
            <w:tcMar>
              <w:top w:w="60" w:type="dxa"/>
              <w:bottom w:w="60" w:type="dxa"/>
              <w:left w:w="80" w:type="dxa"/>
              <w:right w:w="80" w:type="dxa"/>
            </w:tcMar>
          </w:tcPr>
          <w:p>
            <w:r>
              <w:rPr>
                <w:color w:val="0F172A"/>
                <w:sz w:val="17"/>
              </w:rPr>
              <w:t>HR Executive</w:t>
            </w:r>
          </w:p>
        </w:tc>
        <w:tc>
          <w:tcPr>
            <w:tcW w:type="dxa" w:w="2592"/>
            <w:shd w:fill="F8FAFC"/>
            <w:tcMar>
              <w:top w:w="60" w:type="dxa"/>
              <w:bottom w:w="60" w:type="dxa"/>
              <w:left w:w="80" w:type="dxa"/>
              <w:right w:w="80" w:type="dxa"/>
            </w:tcMar>
          </w:tcPr>
          <w:p>
            <w:r>
              <w:rPr>
                <w:color w:val="0F172A"/>
                <w:sz w:val="17"/>
              </w:rPr>
              <w:t>Candidate</w:t>
            </w:r>
          </w:p>
        </w:tc>
        <w:tc>
          <w:tcPr>
            <w:tcW w:type="dxa" w:w="2736"/>
            <w:shd w:fill="F8FAFC"/>
            <w:tcMar>
              <w:top w:w="60" w:type="dxa"/>
              <w:bottom w:w="60" w:type="dxa"/>
              <w:left w:w="80" w:type="dxa"/>
              <w:right w:w="80" w:type="dxa"/>
            </w:tcMar>
          </w:tcPr>
          <w:p>
            <w:r>
              <w:rPr>
                <w:color w:val="0F172A"/>
                <w:sz w:val="17"/>
              </w:rPr>
              <w:t>Specific reviewer notes, highlighted fields, and instant update link.</w:t>
            </w:r>
          </w:p>
        </w:tc>
      </w:tr>
    </w:tbl>
    <w:p>
      <w:pPr>
        <w:spacing w:after="240"/>
      </w:pPr>
    </w:p>
    <w:p>
      <w:pPr>
        <w:pStyle w:val="Heading1"/>
        <w:spacing w:before="320" w:after="120"/>
      </w:pPr>
      <w:r>
        <w:rPr>
          <w:b/>
          <w:color w:val="4338CA"/>
        </w:rPr>
        <w:t>8. Statutory Labor Law &amp; DPDP Act 2023 Compliance Framework</w:t>
      </w:r>
    </w:p>
    <w:tbl>
      <w:tblPr>
        <w:tblW w:type="auto" w:w="0"/>
        <w:jc w:val="center"/>
        <w:tblLook w:firstColumn="1" w:firstRow="1" w:lastColumn="0" w:lastRow="0" w:noHBand="0" w:noVBand="1" w:val="04A0"/>
      </w:tblPr>
      <w:tblGrid>
        <w:gridCol w:w="9360"/>
      </w:tblGrid>
      <w:tr>
        <w:tc>
          <w:tcPr>
            <w:tcW w:type="dxa" w:w="9360"/>
            <w:shd w:fill="EEF2FF"/>
            <w:tcMar>
              <w:top w:w="120" w:type="dxa"/>
              <w:bottom w:w="120" w:type="dxa"/>
              <w:left w:w="150" w:type="dxa"/>
              <w:right w:w="150" w:type="dxa"/>
            </w:tcMar>
          </w:tcPr>
          <w:p>
            <w:pPr>
              <w:spacing w:before="0" w:after="40"/>
            </w:pPr>
            <w:r>
              <w:rPr>
                <w:b/>
                <w:color w:val="4338CA"/>
                <w:sz w:val="20"/>
              </w:rPr>
              <w:t>🔒 DPDP ACT 2023 &amp; STATUTORY RETENTION MANDATE</w:t>
              <w:br/>
            </w:r>
            <w:r>
              <w:rPr>
                <w:color w:val="0F172A"/>
                <w:sz w:val="19"/>
              </w:rPr>
              <w:t>JOY DATA VERIFICATION strictly adheres to the Digital Personal Data Protection Act 2023 (DPDP Act 2023), the Information Technology Act 2000, Employees' Provident Funds and Miscellaneous Provisions Act 1952, and the Employees' State Insurance Act 1948. All digital verification records, biometric vectors, and statutory forms are cryptographically timestamped and stored in immutable compliance vaults with a mandatory 7-year audit retention window.</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