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color w:val="17324D"/>
          <w:sz w:val="56"/>
        </w:rPr>
        <w:t>LSTM + Unified Cyber State</w:t>
      </w:r>
    </w:p>
    <w:p>
      <w:pPr>
        <w:spacing w:after="100"/>
        <w:jc w:val="center"/>
      </w:pPr>
      <w:r>
        <w:rPr>
          <w:color w:val="287B8E"/>
          <w:sz w:val="28"/>
        </w:rPr>
        <w:t>CSE-CIC-IDS2018 future attack prediction report</w:t>
      </w:r>
    </w:p>
    <w:p>
      <w:pPr>
        <w:spacing w:after="100"/>
        <w:jc w:val="center"/>
      </w:pPr>
      <w:r>
        <w:t>Experiment date: 4 September 2026 | Best documented PCA run: 32 components</w:t>
      </w:r>
    </w:p>
    <w:p>
      <w:pPr>
        <w:spacing w:after="100"/>
      </w:pPr>
    </w:p>
    <w:p>
      <w:pPr>
        <w:pStyle w:val="Heading1"/>
        <w:spacing w:after="100"/>
      </w:pPr>
      <w:r>
        <w:t>Executive Summary</w:t>
      </w:r>
    </w:p>
    <w:p>
      <w:pPr>
        <w:spacing w:after="100"/>
      </w:pPr>
      <w:r>
        <w:t>This project implements a temporal binary classifier that consumes canonical Unified Cyber State (UCS) windows derived from the CSE-CIC-IDS2018 network-flow dataset. The model observes 30 consecutive one-minute windows and predicts whether an attack will occur at the forecast target five windows ahead. The pipeline uses chronological splitting, purge and embargo protection, training-only normalization, and a causal PyTorch LSTM.</w:t>
      </w:r>
    </w:p>
    <w:p>
      <w:pPr>
        <w:spacing w:after="100"/>
      </w:pPr>
      <w:r>
        <w:t>Among the comparable PCA experiments, the 32-component model is the strongest saved result on the held-out test set: accuracy 0.5929, precision 0.6719, recall 0.5029, F1 0.5753, ROC-AUC 0.6368, and PR-AUC 0.6750. Its classification threshold was selected on validation data (0.38), rather than fixed blindly at 0.50.</w:t>
      </w:r>
    </w:p>
    <w:p>
      <w:pPr>
        <w:pStyle w:val="Heading1"/>
        <w:spacing w:after="100"/>
      </w:pPr>
      <w:r>
        <w:t>1. Problem and Data Flow</w:t>
      </w:r>
    </w:p>
    <w:p>
      <w:pPr>
        <w:spacing w:after="100"/>
      </w:pPr>
      <w:r>
        <w:t>The system is designed for early warning from temporally ordered network activity:</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17324D"/>
          </w:tcPr>
          <w:p>
            <w:r/>
            <w:r>
              <w:rPr>
                <w:b/>
                <w:color w:val="FFFFFF"/>
              </w:rPr>
              <w:t>Stage</w:t>
            </w:r>
          </w:p>
        </w:tc>
        <w:tc>
          <w:tcPr>
            <w:tcW w:type="dxa" w:w="8208"/>
            <w:vAlign w:val="center"/>
            <w:shd w:fill="17324D"/>
          </w:tcPr>
          <w:p>
            <w:r/>
            <w:r>
              <w:rPr>
                <w:b/>
                <w:color w:val="FFFFFF"/>
              </w:rPr>
              <w:t>What happens</w:t>
            </w:r>
          </w:p>
        </w:tc>
      </w:tr>
      <w:tr>
        <w:tc>
          <w:tcPr>
            <w:tcW w:type="dxa" w:w="2232"/>
            <w:vAlign w:val="center"/>
            <w:shd w:fill="EAF1F5"/>
          </w:tcPr>
          <w:p>
            <w:r/>
            <w:r>
              <w:rPr>
                <w:b w:val="0"/>
              </w:rPr>
              <w:t>Raw input</w:t>
            </w:r>
          </w:p>
        </w:tc>
        <w:tc>
          <w:tcPr>
            <w:tcW w:type="dxa" w:w="8208"/>
            <w:vAlign w:val="center"/>
            <w:shd w:fill="EAF1F5"/>
          </w:tcPr>
          <w:p>
            <w:r/>
            <w:r>
              <w:rPr>
                <w:b w:val="0"/>
              </w:rPr>
              <w:t>CSE-CIC-IDS2018 CSV flow records</w:t>
            </w:r>
          </w:p>
        </w:tc>
      </w:tr>
      <w:tr>
        <w:tc>
          <w:tcPr>
            <w:tcW w:type="dxa" w:w="2232"/>
            <w:vAlign w:val="center"/>
          </w:tcPr>
          <w:p>
            <w:r/>
            <w:r>
              <w:rPr>
                <w:b w:val="0"/>
              </w:rPr>
              <w:t>Canonical representation</w:t>
            </w:r>
          </w:p>
        </w:tc>
        <w:tc>
          <w:tcPr>
            <w:tcW w:type="dxa" w:w="8208"/>
            <w:vAlign w:val="center"/>
          </w:tcPr>
          <w:p>
            <w:r/>
            <w:r>
              <w:rPr>
                <w:b w:val="0"/>
              </w:rPr>
              <w:t>UCS ingestion, cleaning, attack mapping, and one-minute aggregation</w:t>
            </w:r>
          </w:p>
        </w:tc>
      </w:tr>
      <w:tr>
        <w:tc>
          <w:tcPr>
            <w:tcW w:type="dxa" w:w="2232"/>
            <w:vAlign w:val="center"/>
            <w:shd w:fill="EAF1F5"/>
          </w:tcPr>
          <w:p>
            <w:r/>
            <w:r>
              <w:rPr>
                <w:b w:val="0"/>
              </w:rPr>
              <w:t>Target</w:t>
            </w:r>
          </w:p>
        </w:tc>
        <w:tc>
          <w:tcPr>
            <w:tcW w:type="dxa" w:w="8208"/>
            <w:vAlign w:val="center"/>
            <w:shd w:fill="EAF1F5"/>
          </w:tcPr>
          <w:p>
            <w:r/>
            <w:r>
              <w:rPr>
                <w:b w:val="0"/>
              </w:rPr>
              <w:t>future_attack_label over a five-window forecast horizon</w:t>
            </w:r>
          </w:p>
        </w:tc>
      </w:tr>
      <w:tr>
        <w:tc>
          <w:tcPr>
            <w:tcW w:type="dxa" w:w="2232"/>
            <w:vAlign w:val="center"/>
          </w:tcPr>
          <w:p>
            <w:r/>
            <w:r>
              <w:rPr>
                <w:b w:val="0"/>
              </w:rPr>
              <w:t>Temporal protection</w:t>
            </w:r>
          </w:p>
        </w:tc>
        <w:tc>
          <w:tcPr>
            <w:tcW w:type="dxa" w:w="8208"/>
            <w:vAlign w:val="center"/>
          </w:tcPr>
          <w:p>
            <w:r/>
            <w:r>
              <w:rPr>
                <w:b w:val="0"/>
              </w:rPr>
              <w:t>Chronological 70/15/15 split with a 35-window purge and embargo</w:t>
            </w:r>
          </w:p>
        </w:tc>
      </w:tr>
      <w:tr>
        <w:tc>
          <w:tcPr>
            <w:tcW w:type="dxa" w:w="2232"/>
            <w:vAlign w:val="center"/>
            <w:shd w:fill="EAF1F5"/>
          </w:tcPr>
          <w:p>
            <w:r/>
            <w:r>
              <w:rPr>
                <w:b w:val="0"/>
              </w:rPr>
              <w:t>Preprocessing</w:t>
            </w:r>
          </w:p>
        </w:tc>
        <w:tc>
          <w:tcPr>
            <w:tcW w:type="dxa" w:w="8208"/>
            <w:vAlign w:val="center"/>
            <w:shd w:fill="EAF1F5"/>
          </w:tcPr>
          <w:p>
            <w:r/>
            <w:r>
              <w:rPr>
                <w:b w:val="0"/>
              </w:rPr>
              <w:t>Training-only log1p for traffic-volume families, followed by robust scaling</w:t>
            </w:r>
          </w:p>
        </w:tc>
      </w:tr>
      <w:tr>
        <w:tc>
          <w:tcPr>
            <w:tcW w:type="dxa" w:w="2232"/>
            <w:vAlign w:val="center"/>
          </w:tcPr>
          <w:p>
            <w:r/>
            <w:r>
              <w:rPr>
                <w:b w:val="0"/>
              </w:rPr>
              <w:t>Sequence construction</w:t>
            </w:r>
          </w:p>
        </w:tc>
        <w:tc>
          <w:tcPr>
            <w:tcW w:type="dxa" w:w="8208"/>
            <w:vAlign w:val="center"/>
          </w:tcPr>
          <w:p>
            <w:r/>
            <w:r>
              <w:rPr>
                <w:b w:val="0"/>
              </w:rPr>
              <w:t>30 contiguous windows per sample, shaped as (30, features)</w:t>
            </w:r>
          </w:p>
        </w:tc>
      </w:tr>
      <w:tr>
        <w:tc>
          <w:tcPr>
            <w:tcW w:type="dxa" w:w="2232"/>
            <w:vAlign w:val="center"/>
            <w:shd w:fill="EAF1F5"/>
          </w:tcPr>
          <w:p>
            <w:r/>
            <w:r>
              <w:rPr>
                <w:b w:val="0"/>
              </w:rPr>
              <w:t>Prediction</w:t>
            </w:r>
          </w:p>
        </w:tc>
        <w:tc>
          <w:tcPr>
            <w:tcW w:type="dxa" w:w="8208"/>
            <w:vAlign w:val="center"/>
            <w:shd w:fill="EAF1F5"/>
          </w:tcPr>
          <w:p>
            <w:r/>
            <w:r>
              <w:rPr>
                <w:b w:val="0"/>
              </w:rPr>
              <w:t>LSTM probability of the future attack class</w:t>
            </w:r>
          </w:p>
        </w:tc>
      </w:tr>
    </w:tbl>
    <w:p>
      <w:pPr>
        <w:spacing w:after="100"/>
      </w:pPr>
    </w:p>
    <w:p>
      <w:pPr>
        <w:pStyle w:val="Heading1"/>
        <w:spacing w:after="100"/>
      </w:pPr>
      <w:r>
        <w:t>2. Model Architecture and Working</w:t>
      </w:r>
    </w:p>
    <w:p>
      <w:pPr>
        <w:spacing w:after="100"/>
      </w:pPr>
      <w:r>
        <w:t>The classifier is intentionally compact and causal. It processes the sequence in time order and uses only information available within the observed lookback window.</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17324D"/>
          </w:tcPr>
          <w:p>
            <w:r/>
            <w:r>
              <w:rPr>
                <w:b/>
                <w:color w:val="FFFFFF"/>
              </w:rPr>
              <w:t>Component</w:t>
            </w:r>
          </w:p>
        </w:tc>
        <w:tc>
          <w:tcPr>
            <w:tcW w:type="dxa" w:w="8208"/>
            <w:vAlign w:val="center"/>
            <w:shd w:fill="17324D"/>
          </w:tcPr>
          <w:p>
            <w:r/>
            <w:r>
              <w:rPr>
                <w:b/>
                <w:color w:val="FFFFFF"/>
              </w:rPr>
              <w:t>Configuration / role</w:t>
            </w:r>
          </w:p>
        </w:tc>
      </w:tr>
      <w:tr>
        <w:tc>
          <w:tcPr>
            <w:tcW w:type="dxa" w:w="2232"/>
            <w:vAlign w:val="center"/>
            <w:shd w:fill="EAF1F5"/>
          </w:tcPr>
          <w:p>
            <w:r/>
            <w:r>
              <w:rPr>
                <w:b w:val="0"/>
              </w:rPr>
              <w:t>Input</w:t>
            </w:r>
          </w:p>
        </w:tc>
        <w:tc>
          <w:tcPr>
            <w:tcW w:type="dxa" w:w="8208"/>
            <w:vAlign w:val="center"/>
            <w:shd w:fill="EAF1F5"/>
          </w:tcPr>
          <w:p>
            <w:r/>
            <w:r>
              <w:rPr>
                <w:b w:val="0"/>
              </w:rPr>
              <w:t>30 time steps x 32 PCA features in the selected run</w:t>
            </w:r>
          </w:p>
        </w:tc>
      </w:tr>
      <w:tr>
        <w:tc>
          <w:tcPr>
            <w:tcW w:type="dxa" w:w="2232"/>
            <w:vAlign w:val="center"/>
          </w:tcPr>
          <w:p>
            <w:r/>
            <w:r>
              <w:rPr>
                <w:b w:val="0"/>
              </w:rPr>
              <w:t>Recurrent layer</w:t>
            </w:r>
          </w:p>
        </w:tc>
        <w:tc>
          <w:tcPr>
            <w:tcW w:type="dxa" w:w="8208"/>
            <w:vAlign w:val="center"/>
          </w:tcPr>
          <w:p>
            <w:r/>
            <w:r>
              <w:rPr>
                <w:b w:val="0"/>
              </w:rPr>
              <w:t>One unidirectional LSTM layer with hidden size 64</w:t>
            </w:r>
          </w:p>
        </w:tc>
      </w:tr>
      <w:tr>
        <w:tc>
          <w:tcPr>
            <w:tcW w:type="dxa" w:w="2232"/>
            <w:vAlign w:val="center"/>
            <w:shd w:fill="EAF1F5"/>
          </w:tcPr>
          <w:p>
            <w:r/>
            <w:r>
              <w:rPr>
                <w:b w:val="0"/>
              </w:rPr>
              <w:t>Regularization</w:t>
            </w:r>
          </w:p>
        </w:tc>
        <w:tc>
          <w:tcPr>
            <w:tcW w:type="dxa" w:w="8208"/>
            <w:vAlign w:val="center"/>
            <w:shd w:fill="EAF1F5"/>
          </w:tcPr>
          <w:p>
            <w:r/>
            <w:r>
              <w:rPr>
                <w:b w:val="0"/>
              </w:rPr>
              <w:t>Dropout 0.20 applied to the final hidden representation</w:t>
            </w:r>
          </w:p>
        </w:tc>
      </w:tr>
      <w:tr>
        <w:tc>
          <w:tcPr>
            <w:tcW w:type="dxa" w:w="2232"/>
            <w:vAlign w:val="center"/>
          </w:tcPr>
          <w:p>
            <w:r/>
            <w:r>
              <w:rPr>
                <w:b w:val="0"/>
              </w:rPr>
              <w:t>Output head</w:t>
            </w:r>
          </w:p>
        </w:tc>
        <w:tc>
          <w:tcPr>
            <w:tcW w:type="dxa" w:w="8208"/>
            <w:vAlign w:val="center"/>
          </w:tcPr>
          <w:p>
            <w:r/>
            <w:r>
              <w:rPr>
                <w:b w:val="0"/>
              </w:rPr>
              <w:t>Linear layer from 64 hidden units to one logit</w:t>
            </w:r>
          </w:p>
        </w:tc>
      </w:tr>
      <w:tr>
        <w:tc>
          <w:tcPr>
            <w:tcW w:type="dxa" w:w="2232"/>
            <w:vAlign w:val="center"/>
            <w:shd w:fill="EAF1F5"/>
          </w:tcPr>
          <w:p>
            <w:r/>
            <w:r>
              <w:rPr>
                <w:b w:val="0"/>
              </w:rPr>
              <w:t>Probability</w:t>
            </w:r>
          </w:p>
        </w:tc>
        <w:tc>
          <w:tcPr>
            <w:tcW w:type="dxa" w:w="8208"/>
            <w:vAlign w:val="center"/>
            <w:shd w:fill="EAF1F5"/>
          </w:tcPr>
          <w:p>
            <w:r/>
            <w:r>
              <w:rPr>
                <w:b w:val="0"/>
              </w:rPr>
              <w:t>Sigmoid converts the logit to a positive-class probability</w:t>
            </w:r>
          </w:p>
        </w:tc>
      </w:tr>
      <w:tr>
        <w:tc>
          <w:tcPr>
            <w:tcW w:type="dxa" w:w="2232"/>
            <w:vAlign w:val="center"/>
          </w:tcPr>
          <w:p>
            <w:r/>
            <w:r>
              <w:rPr>
                <w:b w:val="0"/>
              </w:rPr>
              <w:t>Decision</w:t>
            </w:r>
          </w:p>
        </w:tc>
        <w:tc>
          <w:tcPr>
            <w:tcW w:type="dxa" w:w="8208"/>
            <w:vAlign w:val="center"/>
          </w:tcPr>
          <w:p>
            <w:r/>
            <w:r>
              <w:rPr>
                <w:b w:val="0"/>
              </w:rPr>
              <w:t>Probability &gt;= validation-selected threshold becomes an attack prediction</w:t>
            </w:r>
          </w:p>
        </w:tc>
      </w:tr>
    </w:tbl>
    <w:p>
      <w:pPr>
        <w:spacing w:after="100"/>
      </w:pPr>
    </w:p>
    <w:p>
      <w:pPr>
        <w:spacing w:after="100"/>
      </w:pPr>
      <w:r>
        <w:t>At each time step, the LSTM updates its hidden state using the current UCS feature vector and the previous state. After the thirtieth window, the final output summarizes the recent temporal context. Dropout regularizes that representation, the fully connected layer produces a logit, and the sigmoid converts it into an interpretable probability.</w:t>
      </w:r>
    </w:p>
    <w:p>
      <w:pPr>
        <w:pStyle w:val="Heading1"/>
        <w:spacing w:after="100"/>
      </w:pPr>
      <w:r>
        <w:t>3. Training and Evaluation Protocol</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17324D"/>
          </w:tcPr>
          <w:p>
            <w:r/>
            <w:r>
              <w:rPr>
                <w:b/>
                <w:color w:val="FFFFFF"/>
              </w:rPr>
              <w:t>Setting</w:t>
            </w:r>
          </w:p>
        </w:tc>
        <w:tc>
          <w:tcPr>
            <w:tcW w:type="dxa" w:w="8208"/>
            <w:vAlign w:val="center"/>
            <w:shd w:fill="17324D"/>
          </w:tcPr>
          <w:p>
            <w:r/>
            <w:r>
              <w:rPr>
                <w:b/>
                <w:color w:val="FFFFFF"/>
              </w:rPr>
              <w:t>Value</w:t>
            </w:r>
          </w:p>
        </w:tc>
      </w:tr>
      <w:tr>
        <w:tc>
          <w:tcPr>
            <w:tcW w:type="dxa" w:w="2232"/>
            <w:vAlign w:val="center"/>
            <w:shd w:fill="EAF1F5"/>
          </w:tcPr>
          <w:p>
            <w:r/>
            <w:r>
              <w:rPr>
                <w:b w:val="0"/>
              </w:rPr>
              <w:t>Loss</w:t>
            </w:r>
          </w:p>
        </w:tc>
        <w:tc>
          <w:tcPr>
            <w:tcW w:type="dxa" w:w="8208"/>
            <w:vAlign w:val="center"/>
            <w:shd w:fill="EAF1F5"/>
          </w:tcPr>
          <w:p>
            <w:r/>
            <w:r>
              <w:rPr>
                <w:b w:val="0"/>
              </w:rPr>
              <w:t>BCEWithLogitsLoss with class weighting enabled in the authoritative configuration</w:t>
            </w:r>
          </w:p>
        </w:tc>
      </w:tr>
      <w:tr>
        <w:tc>
          <w:tcPr>
            <w:tcW w:type="dxa" w:w="2232"/>
            <w:vAlign w:val="center"/>
          </w:tcPr>
          <w:p>
            <w:r/>
            <w:r>
              <w:rPr>
                <w:b w:val="0"/>
              </w:rPr>
              <w:t>Optimizer</w:t>
            </w:r>
          </w:p>
        </w:tc>
        <w:tc>
          <w:tcPr>
            <w:tcW w:type="dxa" w:w="8208"/>
            <w:vAlign w:val="center"/>
          </w:tcPr>
          <w:p>
            <w:r/>
            <w:r>
              <w:rPr>
                <w:b w:val="0"/>
              </w:rPr>
              <w:t>Adam</w:t>
            </w:r>
          </w:p>
        </w:tc>
      </w:tr>
      <w:tr>
        <w:tc>
          <w:tcPr>
            <w:tcW w:type="dxa" w:w="2232"/>
            <w:vAlign w:val="center"/>
            <w:shd w:fill="EAF1F5"/>
          </w:tcPr>
          <w:p>
            <w:r/>
            <w:r>
              <w:rPr>
                <w:b w:val="0"/>
              </w:rPr>
              <w:t>Learning rate</w:t>
            </w:r>
          </w:p>
        </w:tc>
        <w:tc>
          <w:tcPr>
            <w:tcW w:type="dxa" w:w="8208"/>
            <w:vAlign w:val="center"/>
            <w:shd w:fill="EAF1F5"/>
          </w:tcPr>
          <w:p>
            <w:r/>
            <w:r>
              <w:rPr>
                <w:b w:val="0"/>
              </w:rPr>
              <w:t>0.001</w:t>
            </w:r>
          </w:p>
        </w:tc>
      </w:tr>
      <w:tr>
        <w:tc>
          <w:tcPr>
            <w:tcW w:type="dxa" w:w="2232"/>
            <w:vAlign w:val="center"/>
          </w:tcPr>
          <w:p>
            <w:r/>
            <w:r>
              <w:rPr>
                <w:b w:val="0"/>
              </w:rPr>
              <w:t>Weight decay</w:t>
            </w:r>
          </w:p>
        </w:tc>
        <w:tc>
          <w:tcPr>
            <w:tcW w:type="dxa" w:w="8208"/>
            <w:vAlign w:val="center"/>
          </w:tcPr>
          <w:p>
            <w:r/>
            <w:r>
              <w:rPr>
                <w:b w:val="0"/>
              </w:rPr>
              <w:t>0.0001</w:t>
            </w:r>
          </w:p>
        </w:tc>
      </w:tr>
      <w:tr>
        <w:tc>
          <w:tcPr>
            <w:tcW w:type="dxa" w:w="2232"/>
            <w:vAlign w:val="center"/>
            <w:shd w:fill="EAF1F5"/>
          </w:tcPr>
          <w:p>
            <w:r/>
            <w:r>
              <w:rPr>
                <w:b w:val="0"/>
              </w:rPr>
              <w:t>Batch size</w:t>
            </w:r>
          </w:p>
        </w:tc>
        <w:tc>
          <w:tcPr>
            <w:tcW w:type="dxa" w:w="8208"/>
            <w:vAlign w:val="center"/>
            <w:shd w:fill="EAF1F5"/>
          </w:tcPr>
          <w:p>
            <w:r/>
            <w:r>
              <w:rPr>
                <w:b w:val="0"/>
              </w:rPr>
              <w:t>64</w:t>
            </w:r>
          </w:p>
        </w:tc>
      </w:tr>
      <w:tr>
        <w:tc>
          <w:tcPr>
            <w:tcW w:type="dxa" w:w="2232"/>
            <w:vAlign w:val="center"/>
          </w:tcPr>
          <w:p>
            <w:r/>
            <w:r>
              <w:rPr>
                <w:b w:val="0"/>
              </w:rPr>
              <w:t>Maximum epochs</w:t>
            </w:r>
          </w:p>
        </w:tc>
        <w:tc>
          <w:tcPr>
            <w:tcW w:type="dxa" w:w="8208"/>
            <w:vAlign w:val="center"/>
          </w:tcPr>
          <w:p>
            <w:r/>
            <w:r>
              <w:rPr>
                <w:b w:val="0"/>
              </w:rPr>
              <w:t>30</w:t>
            </w:r>
          </w:p>
        </w:tc>
      </w:tr>
      <w:tr>
        <w:tc>
          <w:tcPr>
            <w:tcW w:type="dxa" w:w="2232"/>
            <w:vAlign w:val="center"/>
            <w:shd w:fill="EAF1F5"/>
          </w:tcPr>
          <w:p>
            <w:r/>
            <w:r>
              <w:rPr>
                <w:b w:val="0"/>
              </w:rPr>
              <w:t>Early stopping</w:t>
            </w:r>
          </w:p>
        </w:tc>
        <w:tc>
          <w:tcPr>
            <w:tcW w:type="dxa" w:w="8208"/>
            <w:vAlign w:val="center"/>
            <w:shd w:fill="EAF1F5"/>
          </w:tcPr>
          <w:p>
            <w:r/>
            <w:r>
              <w:rPr>
                <w:b w:val="0"/>
              </w:rPr>
              <w:t>Enabled; patience 5, minimum improvement 0.001</w:t>
            </w:r>
          </w:p>
        </w:tc>
      </w:tr>
      <w:tr>
        <w:tc>
          <w:tcPr>
            <w:tcW w:type="dxa" w:w="2232"/>
            <w:vAlign w:val="center"/>
          </w:tcPr>
          <w:p>
            <w:r/>
            <w:r>
              <w:rPr>
                <w:b w:val="0"/>
              </w:rPr>
              <w:t>Random seed</w:t>
            </w:r>
          </w:p>
        </w:tc>
        <w:tc>
          <w:tcPr>
            <w:tcW w:type="dxa" w:w="8208"/>
            <w:vAlign w:val="center"/>
          </w:tcPr>
          <w:p>
            <w:r/>
            <w:r>
              <w:rPr>
                <w:b w:val="0"/>
              </w:rPr>
              <w:t>42</w:t>
            </w:r>
          </w:p>
        </w:tc>
      </w:tr>
      <w:tr>
        <w:tc>
          <w:tcPr>
            <w:tcW w:type="dxa" w:w="2232"/>
            <w:vAlign w:val="center"/>
            <w:shd w:fill="EAF1F5"/>
          </w:tcPr>
          <w:p>
            <w:r/>
            <w:r>
              <w:rPr>
                <w:b w:val="0"/>
              </w:rPr>
              <w:t>Model selection</w:t>
            </w:r>
          </w:p>
        </w:tc>
        <w:tc>
          <w:tcPr>
            <w:tcW w:type="dxa" w:w="8208"/>
            <w:vAlign w:val="center"/>
            <w:shd w:fill="EAF1F5"/>
          </w:tcPr>
          <w:p>
            <w:r/>
            <w:r>
              <w:rPr>
                <w:b w:val="0"/>
              </w:rPr>
              <w:t>Validation PR-AUC, then validation F1</w:t>
            </w:r>
          </w:p>
        </w:tc>
      </w:tr>
    </w:tbl>
    <w:p>
      <w:pPr>
        <w:spacing w:after="100"/>
      </w:pPr>
    </w:p>
    <w:p>
      <w:pPr>
        <w:spacing w:after="100"/>
      </w:pPr>
      <w:r>
        <w:t>The purge and embargo width is 35 windows: 30 lookback windows plus 5 forecast-horizon windows. This reduces temporal leakage around split boundaries. Normalization and PCA are fitted using purged training windows only, then applied to validation and test data.</w:t>
      </w:r>
    </w:p>
    <w:p>
      <w:pPr>
        <w:pStyle w:val="Heading1"/>
        <w:spacing w:after="100"/>
      </w:pPr>
      <w:r>
        <w:t>4. Comparative Performance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088"/>
            <w:vAlign w:val="center"/>
            <w:shd w:fill="17324D"/>
          </w:tcPr>
          <w:p>
            <w:r/>
            <w:r>
              <w:rPr>
                <w:b/>
                <w:color w:val="FFFFFF"/>
              </w:rPr>
              <w:t>Run</w:t>
            </w:r>
          </w:p>
        </w:tc>
        <w:tc>
          <w:tcPr>
            <w:tcW w:type="dxa" w:w="1008"/>
            <w:vAlign w:val="center"/>
            <w:shd w:fill="17324D"/>
          </w:tcPr>
          <w:p>
            <w:r/>
            <w:r>
              <w:rPr>
                <w:b/>
                <w:color w:val="FFFFFF"/>
              </w:rPr>
              <w:t>Features</w:t>
            </w:r>
          </w:p>
        </w:tc>
        <w:tc>
          <w:tcPr>
            <w:tcW w:type="dxa" w:w="1008"/>
            <w:vAlign w:val="center"/>
            <w:shd w:fill="17324D"/>
          </w:tcPr>
          <w:p>
            <w:r/>
            <w:r>
              <w:rPr>
                <w:b/>
                <w:color w:val="FFFFFF"/>
              </w:rPr>
              <w:t>Train</w:t>
            </w:r>
          </w:p>
        </w:tc>
        <w:tc>
          <w:tcPr>
            <w:tcW w:type="dxa" w:w="792"/>
            <w:vAlign w:val="center"/>
            <w:shd w:fill="17324D"/>
          </w:tcPr>
          <w:p>
            <w:r/>
            <w:r>
              <w:rPr>
                <w:b/>
                <w:color w:val="FFFFFF"/>
              </w:rPr>
              <w:t>Val</w:t>
            </w:r>
          </w:p>
        </w:tc>
        <w:tc>
          <w:tcPr>
            <w:tcW w:type="dxa" w:w="792"/>
            <w:vAlign w:val="center"/>
            <w:shd w:fill="17324D"/>
          </w:tcPr>
          <w:p>
            <w:r/>
            <w:r>
              <w:rPr>
                <w:b/>
                <w:color w:val="FFFFFF"/>
              </w:rPr>
              <w:t>Test</w:t>
            </w:r>
          </w:p>
        </w:tc>
        <w:tc>
          <w:tcPr>
            <w:tcW w:type="dxa" w:w="1080"/>
            <w:vAlign w:val="center"/>
            <w:shd w:fill="17324D"/>
          </w:tcPr>
          <w:p>
            <w:r/>
            <w:r>
              <w:rPr>
                <w:b/>
                <w:color w:val="FFFFFF"/>
              </w:rPr>
              <w:t>Test F1</w:t>
            </w:r>
          </w:p>
        </w:tc>
        <w:tc>
          <w:tcPr>
            <w:tcW w:type="dxa" w:w="1296"/>
            <w:vAlign w:val="center"/>
            <w:shd w:fill="17324D"/>
          </w:tcPr>
          <w:p>
            <w:r/>
            <w:r>
              <w:rPr>
                <w:b/>
                <w:color w:val="FFFFFF"/>
              </w:rPr>
              <w:t>Test PR-AUC</w:t>
            </w:r>
          </w:p>
        </w:tc>
      </w:tr>
      <w:tr>
        <w:tc>
          <w:tcPr>
            <w:tcW w:type="dxa" w:w="2088"/>
            <w:vAlign w:val="center"/>
            <w:shd w:fill="EAF1F5"/>
          </w:tcPr>
          <w:p>
            <w:r/>
            <w:r>
              <w:rPr>
                <w:b w:val="0"/>
              </w:rPr>
              <w:t>baseline_406</w:t>
            </w:r>
          </w:p>
        </w:tc>
        <w:tc>
          <w:tcPr>
            <w:tcW w:type="dxa" w:w="1008"/>
            <w:vAlign w:val="center"/>
            <w:shd w:fill="EAF1F5"/>
          </w:tcPr>
          <w:p>
            <w:r/>
            <w:r>
              <w:rPr>
                <w:b w:val="0"/>
              </w:rPr>
              <w:t>406</w:t>
            </w:r>
          </w:p>
        </w:tc>
        <w:tc>
          <w:tcPr>
            <w:tcW w:type="dxa" w:w="1008"/>
            <w:vAlign w:val="center"/>
            <w:shd w:fill="EAF1F5"/>
          </w:tcPr>
          <w:p>
            <w:r/>
            <w:r>
              <w:rPr>
                <w:b w:val="0"/>
              </w:rPr>
              <w:t>1688</w:t>
            </w:r>
          </w:p>
        </w:tc>
        <w:tc>
          <w:tcPr>
            <w:tcW w:type="dxa" w:w="792"/>
            <w:vAlign w:val="center"/>
            <w:shd w:fill="EAF1F5"/>
          </w:tcPr>
          <w:p>
            <w:r/>
            <w:r>
              <w:rPr>
                <w:b w:val="0"/>
              </w:rPr>
              <w:t>255</w:t>
            </w:r>
          </w:p>
        </w:tc>
        <w:tc>
          <w:tcPr>
            <w:tcW w:type="dxa" w:w="792"/>
            <w:vAlign w:val="center"/>
            <w:shd w:fill="EAF1F5"/>
          </w:tcPr>
          <w:p>
            <w:r/>
            <w:r>
              <w:rPr>
                <w:b w:val="0"/>
              </w:rPr>
              <w:t>312</w:t>
            </w:r>
          </w:p>
        </w:tc>
        <w:tc>
          <w:tcPr>
            <w:tcW w:type="dxa" w:w="1080"/>
            <w:vAlign w:val="center"/>
            <w:shd w:fill="EAF1F5"/>
          </w:tcPr>
          <w:p>
            <w:r/>
            <w:r>
              <w:rPr>
                <w:b w:val="0"/>
              </w:rPr>
              <w:t>0.4815</w:t>
            </w:r>
          </w:p>
        </w:tc>
        <w:tc>
          <w:tcPr>
            <w:tcW w:type="dxa" w:w="1296"/>
            <w:vAlign w:val="center"/>
            <w:shd w:fill="EAF1F5"/>
          </w:tcPr>
          <w:p>
            <w:r/>
            <w:r>
              <w:rPr>
                <w:b w:val="0"/>
              </w:rPr>
              <w:t>0.5988</w:t>
            </w:r>
          </w:p>
        </w:tc>
      </w:tr>
      <w:tr>
        <w:tc>
          <w:tcPr>
            <w:tcW w:type="dxa" w:w="2088"/>
            <w:vAlign w:val="center"/>
          </w:tcPr>
          <w:p>
            <w:r/>
            <w:r>
              <w:rPr>
                <w:b w:val="0"/>
              </w:rPr>
              <w:t>pca_32</w:t>
            </w:r>
          </w:p>
        </w:tc>
        <w:tc>
          <w:tcPr>
            <w:tcW w:type="dxa" w:w="1008"/>
            <w:vAlign w:val="center"/>
          </w:tcPr>
          <w:p>
            <w:r/>
            <w:r>
              <w:rPr>
                <w:b w:val="0"/>
              </w:rPr>
              <w:t>32</w:t>
            </w:r>
          </w:p>
        </w:tc>
        <w:tc>
          <w:tcPr>
            <w:tcW w:type="dxa" w:w="1008"/>
            <w:vAlign w:val="center"/>
          </w:tcPr>
          <w:p>
            <w:r/>
            <w:r>
              <w:rPr>
                <w:b w:val="0"/>
              </w:rPr>
              <w:t>1688</w:t>
            </w:r>
          </w:p>
        </w:tc>
        <w:tc>
          <w:tcPr>
            <w:tcW w:type="dxa" w:w="792"/>
            <w:vAlign w:val="center"/>
          </w:tcPr>
          <w:p>
            <w:r/>
            <w:r>
              <w:rPr>
                <w:b w:val="0"/>
              </w:rPr>
              <w:t>255</w:t>
            </w:r>
          </w:p>
        </w:tc>
        <w:tc>
          <w:tcPr>
            <w:tcW w:type="dxa" w:w="792"/>
            <w:vAlign w:val="center"/>
          </w:tcPr>
          <w:p>
            <w:r/>
            <w:r>
              <w:rPr>
                <w:b w:val="0"/>
              </w:rPr>
              <w:t>312</w:t>
            </w:r>
          </w:p>
        </w:tc>
        <w:tc>
          <w:tcPr>
            <w:tcW w:type="dxa" w:w="1080"/>
            <w:vAlign w:val="center"/>
          </w:tcPr>
          <w:p>
            <w:r/>
            <w:r>
              <w:rPr>
                <w:b w:val="0"/>
              </w:rPr>
              <w:t>0.5753</w:t>
            </w:r>
          </w:p>
        </w:tc>
        <w:tc>
          <w:tcPr>
            <w:tcW w:type="dxa" w:w="1296"/>
            <w:vAlign w:val="center"/>
          </w:tcPr>
          <w:p>
            <w:r/>
            <w:r>
              <w:rPr>
                <w:b w:val="0"/>
              </w:rPr>
              <w:t>0.6750</w:t>
            </w:r>
          </w:p>
        </w:tc>
      </w:tr>
      <w:tr>
        <w:tc>
          <w:tcPr>
            <w:tcW w:type="dxa" w:w="2088"/>
            <w:vAlign w:val="center"/>
            <w:shd w:fill="EAF1F5"/>
          </w:tcPr>
          <w:p>
            <w:r/>
            <w:r>
              <w:rPr>
                <w:b w:val="0"/>
              </w:rPr>
              <w:t>pca_64</w:t>
            </w:r>
          </w:p>
        </w:tc>
        <w:tc>
          <w:tcPr>
            <w:tcW w:type="dxa" w:w="1008"/>
            <w:vAlign w:val="center"/>
            <w:shd w:fill="EAF1F5"/>
          </w:tcPr>
          <w:p>
            <w:r/>
            <w:r>
              <w:rPr>
                <w:b w:val="0"/>
              </w:rPr>
              <w:t>64</w:t>
            </w:r>
          </w:p>
        </w:tc>
        <w:tc>
          <w:tcPr>
            <w:tcW w:type="dxa" w:w="1008"/>
            <w:vAlign w:val="center"/>
            <w:shd w:fill="EAF1F5"/>
          </w:tcPr>
          <w:p>
            <w:r/>
            <w:r>
              <w:rPr>
                <w:b w:val="0"/>
              </w:rPr>
              <w:t>1688</w:t>
            </w:r>
          </w:p>
        </w:tc>
        <w:tc>
          <w:tcPr>
            <w:tcW w:type="dxa" w:w="792"/>
            <w:vAlign w:val="center"/>
            <w:shd w:fill="EAF1F5"/>
          </w:tcPr>
          <w:p>
            <w:r/>
            <w:r>
              <w:rPr>
                <w:b w:val="0"/>
              </w:rPr>
              <w:t>255</w:t>
            </w:r>
          </w:p>
        </w:tc>
        <w:tc>
          <w:tcPr>
            <w:tcW w:type="dxa" w:w="792"/>
            <w:vAlign w:val="center"/>
            <w:shd w:fill="EAF1F5"/>
          </w:tcPr>
          <w:p>
            <w:r/>
            <w:r>
              <w:rPr>
                <w:b w:val="0"/>
              </w:rPr>
              <w:t>312</w:t>
            </w:r>
          </w:p>
        </w:tc>
        <w:tc>
          <w:tcPr>
            <w:tcW w:type="dxa" w:w="1080"/>
            <w:vAlign w:val="center"/>
            <w:shd w:fill="EAF1F5"/>
          </w:tcPr>
          <w:p>
            <w:r/>
            <w:r>
              <w:rPr>
                <w:b w:val="0"/>
              </w:rPr>
              <w:t>0.5686</w:t>
            </w:r>
          </w:p>
        </w:tc>
        <w:tc>
          <w:tcPr>
            <w:tcW w:type="dxa" w:w="1296"/>
            <w:vAlign w:val="center"/>
            <w:shd w:fill="EAF1F5"/>
          </w:tcPr>
          <w:p>
            <w:r/>
            <w:r>
              <w:rPr>
                <w:b w:val="0"/>
              </w:rPr>
              <w:t>0.6337</w:t>
            </w:r>
          </w:p>
        </w:tc>
      </w:tr>
      <w:tr>
        <w:tc>
          <w:tcPr>
            <w:tcW w:type="dxa" w:w="2088"/>
            <w:vAlign w:val="center"/>
          </w:tcPr>
          <w:p>
            <w:r/>
            <w:r>
              <w:rPr>
                <w:b w:val="0"/>
              </w:rPr>
              <w:t>pca_128</w:t>
            </w:r>
          </w:p>
        </w:tc>
        <w:tc>
          <w:tcPr>
            <w:tcW w:type="dxa" w:w="1008"/>
            <w:vAlign w:val="center"/>
          </w:tcPr>
          <w:p>
            <w:r/>
            <w:r>
              <w:rPr>
                <w:b w:val="0"/>
              </w:rPr>
              <w:t>128</w:t>
            </w:r>
          </w:p>
        </w:tc>
        <w:tc>
          <w:tcPr>
            <w:tcW w:type="dxa" w:w="1008"/>
            <w:vAlign w:val="center"/>
          </w:tcPr>
          <w:p>
            <w:r/>
            <w:r>
              <w:rPr>
                <w:b w:val="0"/>
              </w:rPr>
              <w:t>1688</w:t>
            </w:r>
          </w:p>
        </w:tc>
        <w:tc>
          <w:tcPr>
            <w:tcW w:type="dxa" w:w="792"/>
            <w:vAlign w:val="center"/>
          </w:tcPr>
          <w:p>
            <w:r/>
            <w:r>
              <w:rPr>
                <w:b w:val="0"/>
              </w:rPr>
              <w:t>255</w:t>
            </w:r>
          </w:p>
        </w:tc>
        <w:tc>
          <w:tcPr>
            <w:tcW w:type="dxa" w:w="792"/>
            <w:vAlign w:val="center"/>
          </w:tcPr>
          <w:p>
            <w:r/>
            <w:r>
              <w:rPr>
                <w:b w:val="0"/>
              </w:rPr>
              <w:t>312</w:t>
            </w:r>
          </w:p>
        </w:tc>
        <w:tc>
          <w:tcPr>
            <w:tcW w:type="dxa" w:w="1080"/>
            <w:vAlign w:val="center"/>
          </w:tcPr>
          <w:p>
            <w:r/>
            <w:r>
              <w:rPr>
                <w:b w:val="0"/>
              </w:rPr>
              <w:t>0.0656</w:t>
            </w:r>
          </w:p>
        </w:tc>
        <w:tc>
          <w:tcPr>
            <w:tcW w:type="dxa" w:w="1296"/>
            <w:vAlign w:val="center"/>
          </w:tcPr>
          <w:p>
            <w:r/>
            <w:r>
              <w:rPr>
                <w:b w:val="0"/>
              </w:rPr>
              <w:t>0.5525</w:t>
            </w:r>
          </w:p>
        </w:tc>
      </w:tr>
    </w:tbl>
    <w:p>
      <w:pPr>
        <w:spacing w:after="100"/>
      </w:pPr>
    </w:p>
    <w:p>
      <w:pPr>
        <w:spacing w:after="100"/>
      </w:pPr>
      <w:r>
        <w:t>The comparison uses the same sequence counts across all PCA settings. PCA-32 provides the best test PR-AUC and test F1 among these runs, despite using only 32 of the original 406 UCS features. The validation winner was selected by validation PR-AUC followed by validation F1, so test performance is reported as a final held-out assessment rather than a tuning target.</w:t>
      </w:r>
    </w:p>
    <w:p>
      <w:pPr>
        <w:pStyle w:val="Heading1"/>
        <w:spacing w:after="100"/>
      </w:pPr>
      <w:r>
        <w:t>5. Best Run: PCA-32 Detailed Results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7324D"/>
          </w:tcPr>
          <w:p>
            <w:r/>
            <w:r>
              <w:rPr>
                <w:b/>
                <w:color w:val="FFFFFF"/>
              </w:rPr>
              <w:t>Metric</w:t>
            </w:r>
          </w:p>
        </w:tc>
        <w:tc>
          <w:tcPr>
            <w:tcW w:type="dxa" w:w="1512"/>
            <w:vAlign w:val="center"/>
            <w:shd w:fill="17324D"/>
          </w:tcPr>
          <w:p>
            <w:r/>
            <w:r>
              <w:rPr>
                <w:b/>
                <w:color w:val="FFFFFF"/>
              </w:rPr>
              <w:t>Result</w:t>
            </w:r>
          </w:p>
        </w:tc>
        <w:tc>
          <w:tcPr>
            <w:tcW w:type="dxa" w:w="6696"/>
            <w:vAlign w:val="center"/>
            <w:shd w:fill="17324D"/>
          </w:tcPr>
          <w:p>
            <w:r/>
            <w:r>
              <w:rPr>
                <w:b/>
                <w:color w:val="FFFFFF"/>
              </w:rPr>
              <w:t>Meaning</w:t>
            </w:r>
          </w:p>
        </w:tc>
      </w:tr>
      <w:tr>
        <w:tc>
          <w:tcPr>
            <w:tcW w:type="dxa" w:w="2232"/>
            <w:vAlign w:val="center"/>
            <w:shd w:fill="EAF1F5"/>
          </w:tcPr>
          <w:p>
            <w:r/>
            <w:r>
              <w:rPr>
                <w:b w:val="0"/>
              </w:rPr>
              <w:t>Accuracy</w:t>
            </w:r>
          </w:p>
        </w:tc>
        <w:tc>
          <w:tcPr>
            <w:tcW w:type="dxa" w:w="1512"/>
            <w:vAlign w:val="center"/>
            <w:shd w:fill="EAF1F5"/>
          </w:tcPr>
          <w:p>
            <w:r/>
            <w:r>
              <w:rPr>
                <w:b w:val="0"/>
              </w:rPr>
              <w:t>0.5929</w:t>
            </w:r>
          </w:p>
        </w:tc>
        <w:tc>
          <w:tcPr>
            <w:tcW w:type="dxa" w:w="6696"/>
            <w:vAlign w:val="center"/>
            <w:shd w:fill="EAF1F5"/>
          </w:tcPr>
          <w:p>
            <w:r/>
            <w:r>
              <w:rPr>
                <w:b w:val="0"/>
              </w:rPr>
              <w:t>Correct predictions across both classes</w:t>
            </w:r>
          </w:p>
        </w:tc>
      </w:tr>
      <w:tr>
        <w:tc>
          <w:tcPr>
            <w:tcW w:type="dxa" w:w="2232"/>
            <w:vAlign w:val="center"/>
          </w:tcPr>
          <w:p>
            <w:r/>
            <w:r>
              <w:rPr>
                <w:b w:val="0"/>
              </w:rPr>
              <w:t>Precision</w:t>
            </w:r>
          </w:p>
        </w:tc>
        <w:tc>
          <w:tcPr>
            <w:tcW w:type="dxa" w:w="1512"/>
            <w:vAlign w:val="center"/>
          </w:tcPr>
          <w:p>
            <w:r/>
            <w:r>
              <w:rPr>
                <w:b w:val="0"/>
              </w:rPr>
              <w:t>0.6719</w:t>
            </w:r>
          </w:p>
        </w:tc>
        <w:tc>
          <w:tcPr>
            <w:tcW w:type="dxa" w:w="6696"/>
            <w:vAlign w:val="center"/>
          </w:tcPr>
          <w:p>
            <w:r/>
            <w:r>
              <w:rPr>
                <w:b w:val="0"/>
              </w:rPr>
              <w:t>Share of predicted attacks that were attacks</w:t>
            </w:r>
          </w:p>
        </w:tc>
      </w:tr>
      <w:tr>
        <w:tc>
          <w:tcPr>
            <w:tcW w:type="dxa" w:w="2232"/>
            <w:vAlign w:val="center"/>
            <w:shd w:fill="EAF1F5"/>
          </w:tcPr>
          <w:p>
            <w:r/>
            <w:r>
              <w:rPr>
                <w:b w:val="0"/>
              </w:rPr>
              <w:t>Recall</w:t>
            </w:r>
          </w:p>
        </w:tc>
        <w:tc>
          <w:tcPr>
            <w:tcW w:type="dxa" w:w="1512"/>
            <w:vAlign w:val="center"/>
            <w:shd w:fill="EAF1F5"/>
          </w:tcPr>
          <w:p>
            <w:r/>
            <w:r>
              <w:rPr>
                <w:b w:val="0"/>
              </w:rPr>
              <w:t>0.5029</w:t>
            </w:r>
          </w:p>
        </w:tc>
        <w:tc>
          <w:tcPr>
            <w:tcW w:type="dxa" w:w="6696"/>
            <w:vAlign w:val="center"/>
            <w:shd w:fill="EAF1F5"/>
          </w:tcPr>
          <w:p>
            <w:r/>
            <w:r>
              <w:rPr>
                <w:b w:val="0"/>
              </w:rPr>
              <w:t>Share of attacks detected</w:t>
            </w:r>
          </w:p>
        </w:tc>
      </w:tr>
      <w:tr>
        <w:tc>
          <w:tcPr>
            <w:tcW w:type="dxa" w:w="2232"/>
            <w:vAlign w:val="center"/>
          </w:tcPr>
          <w:p>
            <w:r/>
            <w:r>
              <w:rPr>
                <w:b w:val="0"/>
              </w:rPr>
              <w:t>F1 score</w:t>
            </w:r>
          </w:p>
        </w:tc>
        <w:tc>
          <w:tcPr>
            <w:tcW w:type="dxa" w:w="1512"/>
            <w:vAlign w:val="center"/>
          </w:tcPr>
          <w:p>
            <w:r/>
            <w:r>
              <w:rPr>
                <w:b w:val="0"/>
              </w:rPr>
              <w:t>0.5753</w:t>
            </w:r>
          </w:p>
        </w:tc>
        <w:tc>
          <w:tcPr>
            <w:tcW w:type="dxa" w:w="6696"/>
            <w:vAlign w:val="center"/>
          </w:tcPr>
          <w:p>
            <w:r/>
            <w:r>
              <w:rPr>
                <w:b w:val="0"/>
              </w:rPr>
              <w:t>Balance between precision and recall</w:t>
            </w:r>
          </w:p>
        </w:tc>
      </w:tr>
      <w:tr>
        <w:tc>
          <w:tcPr>
            <w:tcW w:type="dxa" w:w="2232"/>
            <w:vAlign w:val="center"/>
            <w:shd w:fill="EAF1F5"/>
          </w:tcPr>
          <w:p>
            <w:r/>
            <w:r>
              <w:rPr>
                <w:b w:val="0"/>
              </w:rPr>
              <w:t>ROC-AUC</w:t>
            </w:r>
          </w:p>
        </w:tc>
        <w:tc>
          <w:tcPr>
            <w:tcW w:type="dxa" w:w="1512"/>
            <w:vAlign w:val="center"/>
            <w:shd w:fill="EAF1F5"/>
          </w:tcPr>
          <w:p>
            <w:r/>
            <w:r>
              <w:rPr>
                <w:b w:val="0"/>
              </w:rPr>
              <w:t>0.6368</w:t>
            </w:r>
          </w:p>
        </w:tc>
        <w:tc>
          <w:tcPr>
            <w:tcW w:type="dxa" w:w="6696"/>
            <w:vAlign w:val="center"/>
            <w:shd w:fill="EAF1F5"/>
          </w:tcPr>
          <w:p>
            <w:r/>
            <w:r>
              <w:rPr>
                <w:b w:val="0"/>
              </w:rPr>
              <w:t>Ranking quality across thresholds</w:t>
            </w:r>
          </w:p>
        </w:tc>
      </w:tr>
      <w:tr>
        <w:tc>
          <w:tcPr>
            <w:tcW w:type="dxa" w:w="2232"/>
            <w:vAlign w:val="center"/>
          </w:tcPr>
          <w:p>
            <w:r/>
            <w:r>
              <w:rPr>
                <w:b w:val="0"/>
              </w:rPr>
              <w:t>PR-AUC</w:t>
            </w:r>
          </w:p>
        </w:tc>
        <w:tc>
          <w:tcPr>
            <w:tcW w:type="dxa" w:w="1512"/>
            <w:vAlign w:val="center"/>
          </w:tcPr>
          <w:p>
            <w:r/>
            <w:r>
              <w:rPr>
                <w:b w:val="0"/>
              </w:rPr>
              <w:t>0.6750</w:t>
            </w:r>
          </w:p>
        </w:tc>
        <w:tc>
          <w:tcPr>
            <w:tcW w:type="dxa" w:w="6696"/>
            <w:vAlign w:val="center"/>
          </w:tcPr>
          <w:p>
            <w:r/>
            <w:r>
              <w:rPr>
                <w:b w:val="0"/>
              </w:rPr>
              <w:t>Precision-recall ranking quality</w:t>
            </w:r>
          </w:p>
        </w:tc>
      </w:tr>
      <w:tr>
        <w:tc>
          <w:tcPr>
            <w:tcW w:type="dxa" w:w="2232"/>
            <w:vAlign w:val="center"/>
            <w:shd w:fill="EAF1F5"/>
          </w:tcPr>
          <w:p>
            <w:r/>
            <w:r>
              <w:rPr>
                <w:b w:val="0"/>
              </w:rPr>
              <w:t>Decision threshold</w:t>
            </w:r>
          </w:p>
        </w:tc>
        <w:tc>
          <w:tcPr>
            <w:tcW w:type="dxa" w:w="1512"/>
            <w:vAlign w:val="center"/>
            <w:shd w:fill="EAF1F5"/>
          </w:tcPr>
          <w:p>
            <w:r/>
            <w:r>
              <w:rPr>
                <w:b w:val="0"/>
              </w:rPr>
              <w:t>0.38</w:t>
            </w:r>
          </w:p>
        </w:tc>
        <w:tc>
          <w:tcPr>
            <w:tcW w:type="dxa" w:w="6696"/>
            <w:vAlign w:val="center"/>
            <w:shd w:fill="EAF1F5"/>
          </w:tcPr>
          <w:p>
            <w:r/>
            <w:r>
              <w:rPr>
                <w:b w:val="0"/>
              </w:rPr>
              <w:t>Validation-selected probability cutoff</w:t>
            </w:r>
          </w:p>
        </w:tc>
      </w:tr>
    </w:tbl>
    <w:p>
      <w:pPr>
        <w:spacing w:after="100"/>
      </w:pPr>
    </w:p>
    <w:p>
      <w:pPr>
        <w:pStyle w:val="Heading2"/>
        <w:spacing w:after="100"/>
      </w:pPr>
      <w:r>
        <w:t>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324D"/>
          </w:tcPr>
          <w:p>
            <w:r/>
            <w:r>
              <w:rPr>
                <w:b/>
                <w:color w:val="FFFFFF"/>
              </w:rPr>
            </w:r>
          </w:p>
        </w:tc>
        <w:tc>
          <w:tcPr>
            <w:tcW w:type="dxa" w:w="3744"/>
            <w:vAlign w:val="center"/>
            <w:shd w:fill="17324D"/>
          </w:tcPr>
          <w:p>
            <w:r/>
            <w:r>
              <w:rPr>
                <w:b/>
                <w:color w:val="FFFFFF"/>
              </w:rPr>
              <w:t>Predicted normal</w:t>
            </w:r>
          </w:p>
        </w:tc>
        <w:tc>
          <w:tcPr>
            <w:tcW w:type="dxa" w:w="3744"/>
            <w:vAlign w:val="center"/>
            <w:shd w:fill="17324D"/>
          </w:tcPr>
          <w:p>
            <w:r/>
            <w:r>
              <w:rPr>
                <w:b/>
                <w:color w:val="FFFFFF"/>
              </w:rPr>
              <w:t>Predicted attack</w:t>
            </w:r>
          </w:p>
        </w:tc>
      </w:tr>
      <w:tr>
        <w:tc>
          <w:tcPr>
            <w:tcW w:type="dxa" w:w="2448"/>
            <w:vAlign w:val="center"/>
            <w:shd w:fill="EAF1F5"/>
          </w:tcPr>
          <w:p>
            <w:r/>
            <w:r>
              <w:rPr>
                <w:b w:val="0"/>
              </w:rPr>
              <w:t>Actual normal</w:t>
            </w:r>
          </w:p>
        </w:tc>
        <w:tc>
          <w:tcPr>
            <w:tcW w:type="dxa" w:w="3744"/>
            <w:vAlign w:val="center"/>
            <w:shd w:fill="EAF1F5"/>
          </w:tcPr>
          <w:p>
            <w:r/>
            <w:r>
              <w:rPr>
                <w:b w:val="0"/>
              </w:rPr>
              <w:t>99</w:t>
            </w:r>
          </w:p>
        </w:tc>
        <w:tc>
          <w:tcPr>
            <w:tcW w:type="dxa" w:w="3744"/>
            <w:vAlign w:val="center"/>
            <w:shd w:fill="EAF1F5"/>
          </w:tcPr>
          <w:p>
            <w:r/>
            <w:r>
              <w:rPr>
                <w:b w:val="0"/>
              </w:rPr>
              <w:t>42</w:t>
            </w:r>
          </w:p>
        </w:tc>
      </w:tr>
      <w:tr>
        <w:tc>
          <w:tcPr>
            <w:tcW w:type="dxa" w:w="2448"/>
            <w:vAlign w:val="center"/>
          </w:tcPr>
          <w:p>
            <w:r/>
            <w:r>
              <w:rPr>
                <w:b w:val="0"/>
              </w:rPr>
              <w:t>Actual attack</w:t>
            </w:r>
          </w:p>
        </w:tc>
        <w:tc>
          <w:tcPr>
            <w:tcW w:type="dxa" w:w="3744"/>
            <w:vAlign w:val="center"/>
          </w:tcPr>
          <w:p>
            <w:r/>
            <w:r>
              <w:rPr>
                <w:b w:val="0"/>
              </w:rPr>
              <w:t>85</w:t>
            </w:r>
          </w:p>
        </w:tc>
        <w:tc>
          <w:tcPr>
            <w:tcW w:type="dxa" w:w="3744"/>
            <w:vAlign w:val="center"/>
          </w:tcPr>
          <w:p>
            <w:r/>
            <w:r>
              <w:rPr>
                <w:b w:val="0"/>
              </w:rPr>
              <w:t>86</w:t>
            </w:r>
          </w:p>
        </w:tc>
      </w:tr>
    </w:tbl>
    <w:p>
      <w:pPr>
        <w:spacing w:after="100"/>
      </w:pPr>
    </w:p>
    <w:p>
      <w:pPr>
        <w:spacing w:after="100"/>
      </w:pPr>
      <w:r>
        <w:t>The model detected 86 of 171 attack-labelled test sequences (recall 0.5029) and produced 42 false alarms. It missed 85 attacks, so the model is useful as an experimental early-warning baseline but is not yet sufficient for unattended security response.</w:t>
      </w:r>
    </w:p>
    <w:p>
      <w:pPr>
        <w:pStyle w:val="Heading1"/>
        <w:spacing w:after="100"/>
      </w:pPr>
      <w:r>
        <w:t>6. PCA Findings</w:t>
      </w:r>
    </w:p>
    <w:p>
      <w:pPr>
        <w:spacing w:after="100"/>
      </w:pPr>
      <w:r>
        <w:t>The selected PCA-32 transform was fitted on 406 input features. The first 32 components preserve 99.999968% cumulative variance. The first component alone explains 98.7236%, indicating strong redundancy or scale concentration in the original UCS feature space.</w:t>
      </w:r>
    </w:p>
    <w:p>
      <w:pPr>
        <w:spacing w:after="100"/>
      </w:pPr>
      <w:r>
        <w:t>Variance preservation does not guarantee equal predictive usefulness. In this experiment, PCA-32 outperformed PCA-64 and PCA-128 on the held-out test set, showing that the lower-dimensional representation was a better-performing operating point for this LSTM run.</w:t>
      </w:r>
    </w:p>
    <w:p>
      <w:pPr>
        <w:pStyle w:val="Heading1"/>
        <w:spacing w:after="100"/>
      </w:pPr>
      <w:r>
        <w:t>7. Strengths, Limitations, and Next Steps</w:t>
      </w:r>
    </w:p>
    <w:p>
      <w:pPr>
        <w:pStyle w:val="Heading2"/>
        <w:spacing w:after="100"/>
      </w:pPr>
      <w:r>
        <w:t>Strengths</w:t>
      </w:r>
    </w:p>
    <w:p>
      <w:pPr>
        <w:pStyle w:val="ListBullet"/>
        <w:spacing w:after="100"/>
      </w:pPr>
      <w:r>
        <w:t>Uses a canonical UCS representation rather than feeding raw flow records directly into the LSTM.</w:t>
      </w:r>
    </w:p>
    <w:p>
      <w:pPr>
        <w:pStyle w:val="ListBullet"/>
        <w:spacing w:after="100"/>
      </w:pPr>
      <w:r>
        <w:t>Preserves temporal order and uses a causal unidirectional model.</w:t>
      </w:r>
    </w:p>
    <w:p>
      <w:pPr>
        <w:pStyle w:val="ListBullet"/>
        <w:spacing w:after="100"/>
      </w:pPr>
      <w:r>
        <w:t>Controls common temporal leakage paths with purge, embargo, contiguous sequences, and training-only transforms.</w:t>
      </w:r>
    </w:p>
    <w:p>
      <w:pPr>
        <w:pStyle w:val="ListBullet"/>
        <w:spacing w:after="100"/>
      </w:pPr>
      <w:r>
        <w:t>Stores configuration, checkpoints, predictions, scaler/PCA metadata, and metrics as experiment artifacts.</w:t>
      </w:r>
    </w:p>
    <w:p>
      <w:pPr>
        <w:pStyle w:val="Heading2"/>
        <w:spacing w:after="100"/>
      </w:pPr>
      <w:r>
        <w:t>Limitations</w:t>
      </w:r>
    </w:p>
    <w:p>
      <w:pPr>
        <w:pStyle w:val="ListBullet"/>
        <w:spacing w:after="100"/>
      </w:pPr>
      <w:r>
        <w:t>The best test F1 of 0.5753 and recall of 0.5029 leave substantial missed-attack risk.</w:t>
      </w:r>
    </w:p>
    <w:p>
      <w:pPr>
        <w:pStyle w:val="ListBullet"/>
        <w:spacing w:after="100"/>
      </w:pPr>
      <w:r>
        <w:t>The report is based on saved experiment artifacts; operational latency, calibration, and performance under distribution shift were not evaluated here.</w:t>
      </w:r>
    </w:p>
    <w:p>
      <w:pPr>
        <w:pStyle w:val="ListBullet"/>
        <w:spacing w:after="100"/>
      </w:pPr>
      <w:r>
        <w:t>PCA improves compactness but reduces direct feature interpretability.</w:t>
      </w:r>
    </w:p>
    <w:p>
      <w:pPr>
        <w:pStyle w:val="ListBullet"/>
        <w:spacing w:after="100"/>
      </w:pPr>
      <w:r>
        <w:t>The comparison contains one saved run per PCA setting, so repeated-seed confidence intervals are not available.</w:t>
      </w:r>
    </w:p>
    <w:p>
      <w:pPr>
        <w:pStyle w:val="Heading2"/>
        <w:spacing w:after="100"/>
      </w:pPr>
      <w:r>
        <w:t>Recommended next steps</w:t>
      </w:r>
    </w:p>
    <w:p>
      <w:pPr>
        <w:pStyle w:val="ListBullet"/>
        <w:spacing w:after="100"/>
      </w:pPr>
      <w:r>
        <w:t>Repeat the PCA-32 experiment across multiple seeds and report mean, standard deviation, and confidence intervals.</w:t>
      </w:r>
    </w:p>
    <w:p>
      <w:pPr>
        <w:pStyle w:val="ListBullet"/>
        <w:spacing w:after="100"/>
      </w:pPr>
      <w:r>
        <w:t>Tune the operating threshold against an explicit security objective, such as minimum recall at an acceptable false-alarm rate.</w:t>
      </w:r>
    </w:p>
    <w:p>
      <w:pPr>
        <w:pStyle w:val="ListBullet"/>
        <w:spacing w:after="100"/>
      </w:pPr>
      <w:r>
        <w:t>Add calibration and time-to-detection analysis before using probabilities operationally.</w:t>
      </w:r>
    </w:p>
    <w:p>
      <w:pPr>
        <w:pStyle w:val="ListBullet"/>
        <w:spacing w:after="100"/>
      </w:pPr>
      <w:r>
        <w:t>Compare against a persistence/rule baseline and a non-recurrent model to quantify the value of temporal recurrence.</w:t>
      </w:r>
    </w:p>
    <w:p>
      <w:pPr>
        <w:pStyle w:val="Heading1"/>
        <w:spacing w:after="100"/>
      </w:pPr>
      <w:r>
        <w:t>8. Reproducibility References</w:t>
      </w:r>
    </w:p>
    <w:p>
      <w:pPr>
        <w:spacing w:after="100"/>
      </w:pPr>
      <w:r>
        <w:t>The implementation and artifacts used for this report are in the project workspace:</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324D"/>
          </w:tcPr>
          <w:p>
            <w:r/>
            <w:r>
              <w:rPr>
                <w:b/>
                <w:color w:val="FFFFFF"/>
              </w:rPr>
              <w:t>Item</w:t>
            </w:r>
          </w:p>
        </w:tc>
        <w:tc>
          <w:tcPr>
            <w:tcW w:type="dxa" w:w="7848"/>
            <w:vAlign w:val="center"/>
            <w:shd w:fill="17324D"/>
          </w:tcPr>
          <w:p>
            <w:r/>
            <w:r>
              <w:rPr>
                <w:b/>
                <w:color w:val="FFFFFF"/>
              </w:rPr>
              <w:t>Path</w:t>
            </w:r>
          </w:p>
        </w:tc>
      </w:tr>
      <w:tr>
        <w:tc>
          <w:tcPr>
            <w:tcW w:type="dxa" w:w="2592"/>
            <w:vAlign w:val="center"/>
            <w:shd w:fill="EAF1F5"/>
          </w:tcPr>
          <w:p>
            <w:r/>
            <w:r>
              <w:rPr>
                <w:b w:val="0"/>
              </w:rPr>
              <w:t>Pipeline overview</w:t>
            </w:r>
          </w:p>
        </w:tc>
        <w:tc>
          <w:tcPr>
            <w:tcW w:type="dxa" w:w="7848"/>
            <w:vAlign w:val="center"/>
            <w:shd w:fill="EAF1F5"/>
          </w:tcPr>
          <w:p>
            <w:r/>
            <w:r>
              <w:rPr>
                <w:b w:val="0"/>
              </w:rPr>
              <w:t>README.md</w:t>
            </w:r>
          </w:p>
        </w:tc>
      </w:tr>
      <w:tr>
        <w:tc>
          <w:tcPr>
            <w:tcW w:type="dxa" w:w="2592"/>
            <w:vAlign w:val="center"/>
          </w:tcPr>
          <w:p>
            <w:r/>
            <w:r>
              <w:rPr>
                <w:b w:val="0"/>
              </w:rPr>
              <w:t>Authoritative settings</w:t>
            </w:r>
          </w:p>
        </w:tc>
        <w:tc>
          <w:tcPr>
            <w:tcW w:type="dxa" w:w="7848"/>
            <w:vAlign w:val="center"/>
          </w:tcPr>
          <w:p>
            <w:r/>
            <w:r>
              <w:rPr>
                <w:b w:val="0"/>
              </w:rPr>
              <w:t>configs/model_config.yaml</w:t>
            </w:r>
          </w:p>
        </w:tc>
      </w:tr>
      <w:tr>
        <w:tc>
          <w:tcPr>
            <w:tcW w:type="dxa" w:w="2592"/>
            <w:vAlign w:val="center"/>
            <w:shd w:fill="EAF1F5"/>
          </w:tcPr>
          <w:p>
            <w:r/>
            <w:r>
              <w:rPr>
                <w:b w:val="0"/>
              </w:rPr>
              <w:t>UCS preparation and PCA</w:t>
            </w:r>
          </w:p>
        </w:tc>
        <w:tc>
          <w:tcPr>
            <w:tcW w:type="dxa" w:w="7848"/>
            <w:vAlign w:val="center"/>
            <w:shd w:fill="EAF1F5"/>
          </w:tcPr>
          <w:p>
            <w:r/>
            <w:r>
              <w:rPr>
                <w:b w:val="0"/>
              </w:rPr>
              <w:t>lstm/ucs.py</w:t>
            </w:r>
          </w:p>
        </w:tc>
      </w:tr>
      <w:tr>
        <w:tc>
          <w:tcPr>
            <w:tcW w:type="dxa" w:w="2592"/>
            <w:vAlign w:val="center"/>
          </w:tcPr>
          <w:p>
            <w:r/>
            <w:r>
              <w:rPr>
                <w:b w:val="0"/>
              </w:rPr>
              <w:t>LSTM architecture</w:t>
            </w:r>
          </w:p>
        </w:tc>
        <w:tc>
          <w:tcPr>
            <w:tcW w:type="dxa" w:w="7848"/>
            <w:vAlign w:val="center"/>
          </w:tcPr>
          <w:p>
            <w:r/>
            <w:r>
              <w:rPr>
                <w:b w:val="0"/>
              </w:rPr>
              <w:t>lstm/model.py</w:t>
            </w:r>
          </w:p>
        </w:tc>
      </w:tr>
      <w:tr>
        <w:tc>
          <w:tcPr>
            <w:tcW w:type="dxa" w:w="2592"/>
            <w:vAlign w:val="center"/>
            <w:shd w:fill="EAF1F5"/>
          </w:tcPr>
          <w:p>
            <w:r/>
            <w:r>
              <w:rPr>
                <w:b w:val="0"/>
              </w:rPr>
              <w:t>Training loop</w:t>
            </w:r>
          </w:p>
        </w:tc>
        <w:tc>
          <w:tcPr>
            <w:tcW w:type="dxa" w:w="7848"/>
            <w:vAlign w:val="center"/>
            <w:shd w:fill="EAF1F5"/>
          </w:tcPr>
          <w:p>
            <w:r/>
            <w:r>
              <w:rPr>
                <w:b w:val="0"/>
              </w:rPr>
              <w:t>lstm/trainer.py</w:t>
            </w:r>
          </w:p>
        </w:tc>
      </w:tr>
      <w:tr>
        <w:tc>
          <w:tcPr>
            <w:tcW w:type="dxa" w:w="2592"/>
            <w:vAlign w:val="center"/>
          </w:tcPr>
          <w:p>
            <w:r/>
            <w:r>
              <w:rPr>
                <w:b w:val="0"/>
              </w:rPr>
              <w:t>Evaluation metrics</w:t>
            </w:r>
          </w:p>
        </w:tc>
        <w:tc>
          <w:tcPr>
            <w:tcW w:type="dxa" w:w="7848"/>
            <w:vAlign w:val="center"/>
          </w:tcPr>
          <w:p>
            <w:r/>
            <w:r>
              <w:rPr>
                <w:b w:val="0"/>
              </w:rPr>
              <w:t>lstm/evaluator.py</w:t>
            </w:r>
          </w:p>
        </w:tc>
      </w:tr>
      <w:tr>
        <w:tc>
          <w:tcPr>
            <w:tcW w:type="dxa" w:w="2592"/>
            <w:vAlign w:val="center"/>
            <w:shd w:fill="EAF1F5"/>
          </w:tcPr>
          <w:p>
            <w:r/>
            <w:r>
              <w:rPr>
                <w:b w:val="0"/>
              </w:rPr>
              <w:t>Best-run metrics</w:t>
            </w:r>
          </w:p>
        </w:tc>
        <w:tc>
          <w:tcPr>
            <w:tcW w:type="dxa" w:w="7848"/>
            <w:vAlign w:val="center"/>
            <w:shd w:fill="EAF1F5"/>
          </w:tcPr>
          <w:p>
            <w:r/>
            <w:r>
              <w:rPr>
                <w:b w:val="0"/>
              </w:rPr>
              <w:t>artifacts/experiments/ucs_pca_20260904/pca_32/lstm_metrics.json</w:t>
            </w:r>
          </w:p>
        </w:tc>
      </w:tr>
      <w:tr>
        <w:tc>
          <w:tcPr>
            <w:tcW w:type="dxa" w:w="2592"/>
            <w:vAlign w:val="center"/>
          </w:tcPr>
          <w:p>
            <w:r/>
            <w:r>
              <w:rPr>
                <w:b w:val="0"/>
              </w:rPr>
              <w:t>PCA comparison</w:t>
            </w:r>
          </w:p>
        </w:tc>
        <w:tc>
          <w:tcPr>
            <w:tcW w:type="dxa" w:w="7848"/>
            <w:vAlign w:val="center"/>
          </w:tcPr>
          <w:p>
            <w:r/>
            <w:r>
              <w:rPr>
                <w:b w:val="0"/>
              </w:rPr>
              <w:t>artifacts/experiments/ucs_pca_20260904/comparison.json</w:t>
            </w:r>
          </w:p>
        </w:tc>
      </w:tr>
      <w:tr>
        <w:tc>
          <w:tcPr>
            <w:tcW w:type="dxa" w:w="2592"/>
            <w:vAlign w:val="center"/>
            <w:shd w:fill="EAF1F5"/>
          </w:tcPr>
          <w:p>
            <w:r/>
            <w:r>
              <w:rPr>
                <w:b w:val="0"/>
              </w:rPr>
              <w:t>Best-run metadata</w:t>
            </w:r>
          </w:p>
        </w:tc>
        <w:tc>
          <w:tcPr>
            <w:tcW w:type="dxa" w:w="7848"/>
            <w:vAlign w:val="center"/>
            <w:shd w:fill="EAF1F5"/>
          </w:tcPr>
          <w:p>
            <w:r/>
            <w:r>
              <w:rPr>
                <w:b w:val="0"/>
              </w:rPr>
              <w:t>artifacts/experiments/ucs_pca_20260904/pca_32/lstm_ucs_experiment.json</w:t>
            </w:r>
          </w:p>
        </w:tc>
      </w:tr>
    </w:tbl>
    <w:p>
      <w:pPr>
        <w:spacing w:after="100"/>
      </w:pPr>
    </w:p>
    <w:p>
      <w:pPr>
        <w:spacing w:after="100"/>
      </w:pPr>
      <w:r>
        <w:t>Generated from the saved artifacts on 4 September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B8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