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ML1 - Unified Cyber State World Model</w:t>
        <w:br/>
        <w:t>Progress and Implementation Report</w:t>
      </w:r>
    </w:p>
    <w:p>
      <w:pPr>
        <w:jc w:val="center"/>
      </w:pPr>
      <w:r>
        <w:rPr>
          <w:i/>
        </w:rPr>
        <w:t>Project date: 4 September 2026 | Evaluation protocol: chronological split</w:t>
      </w:r>
    </w:p>
    <w:p>
      <w:pPr>
        <w:pStyle w:val="Heading1"/>
      </w:pPr>
      <w:r>
        <w:t>1. Executive Summary</w:t>
      </w:r>
    </w:p>
    <w:p>
      <w:r>
        <w:t>The repository has been extended from a deterministic UCS LSTM transition model into a reusable probabilistic world-model pipeline. The model consumes 30 consecutive UCS windows, encodes them with the existing causal unidirectional LSTM, and predicts a diagonal Gaussian distribution for the next UCS state. The current-data work is evaluated only with the chronological train/validation/test protocol. No attack episode IDs were fabricated, and source_day is not treated as an attack episode.</w:t>
      </w:r>
    </w:p>
    <w:p>
      <w:r>
        <w:t>The core current-data implementation is complete and tested. Episode-dependent work such as 38-fold LOEO, final onset evaluation, B2, and unseen-episode novelty evaluation remains deferred because the current UCS artifact does not contain the required episode_id field.</w:t>
      </w:r>
    </w:p>
    <w:p>
      <w:pPr>
        <w:pStyle w:val="Heading1"/>
      </w:pPr>
      <w:r>
        <w:t>2. What the Model Does</w:t>
      </w:r>
    </w:p>
    <w:p>
      <w:r>
        <w:t>The model estimates UCS transition dynamics rather than directly forecasting attack onset:</w:t>
      </w:r>
    </w:p>
    <w:p>
      <w:r>
        <w:t>S(t-29), ..., S(t) -&gt; causal LSTM encoder -&gt; z(t) -&gt; Gaussian head -&gt; mean mu(t+1), standard deviation sigma(t+1)</w:t>
      </w:r>
    </w:p>
    <w:p>
      <w:r>
        <w:t>The diagonal Gaussian represents a deterministic conditional mean plus per-feature uncertainty. It does not claim to model a full covariance matrix or a complete probabilistic transition distribution.</w:t>
      </w:r>
    </w:p>
    <w:p>
      <w:pPr>
        <w:pStyle w:val="ListBullet"/>
      </w:pPr>
      <w:r>
        <w:t>Input: 30 consecutive one-minute UCS windows.</w:t>
      </w:r>
    </w:p>
    <w:p>
      <w:pPr>
        <w:pStyle w:val="ListBullet"/>
      </w:pPr>
      <w:r>
        <w:t>Forbidden inputs: window_start_utc, window_end_utc, and source_day.</w:t>
      </w:r>
    </w:p>
    <w:p>
      <w:pPr>
        <w:pStyle w:val="ListBullet"/>
      </w:pPr>
      <w:r>
        <w:t>Target: the immediately following UCS state S(t+1), not an attack label.</w:t>
      </w:r>
    </w:p>
    <w:p>
      <w:pPr>
        <w:pStyle w:val="ListBullet"/>
      </w:pPr>
      <w:r>
        <w:t>Encoder: the existing one-layer causal LSTM with hidden size 64.</w:t>
      </w:r>
    </w:p>
    <w:p>
      <w:pPr>
        <w:pStyle w:val="ListBullet"/>
      </w:pPr>
      <w:r>
        <w:t>Head: two small MLP branches producing mu and positive sigma.</w:t>
      </w:r>
    </w:p>
    <w:p>
      <w:pPr>
        <w:pStyle w:val="ListBullet"/>
      </w:pPr>
      <w:r>
        <w:t>Loss: diagonal Gaussian negative log likelihood.</w:t>
      </w:r>
    </w:p>
    <w:p>
      <w:pPr>
        <w:pStyle w:val="ListBullet"/>
      </w:pPr>
      <w:r>
        <w:t>Rollout: the predicted mean is recursively fed back as the next state; conditional standard deviation is tracked at each step.</w:t>
      </w:r>
    </w:p>
    <w:p>
      <w:pPr>
        <w:pStyle w:val="Heading1"/>
      </w:pPr>
      <w:r>
        <w:t>3. Data and Evaluation Protocol</w:t>
      </w:r>
    </w:p>
    <w:p>
      <w:r>
        <w:t>The model consumes the canonical artifact data/ucs/ucs_windows.parquet. The current artifact contains 2,787 purged UCS windows and 406 input/state dimensions. Preprocessing and split boundaries remain those of the existing UCS pipeline.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vAlign w:val="center"/>
            <w:shd w:fill="D9EAF7"/>
          </w:tcPr>
          <w:p>
            <w:r>
              <w:rPr>
                <w:b/>
                <w:sz w:val="18"/>
              </w:rPr>
              <w:t>Rule</w:t>
            </w:r>
          </w:p>
        </w:tc>
        <w:tc>
          <w:tcPr>
            <w:tcW w:type="dxa" w:w="5040"/>
            <w:vAlign w:val="center"/>
            <w:shd w:fill="D9EAF7"/>
          </w:tcPr>
          <w:p>
            <w:r>
              <w:rPr>
                <w:b/>
                <w:sz w:val="18"/>
              </w:rPr>
              <w:t>Implementation</w:t>
            </w:r>
          </w:p>
        </w:tc>
      </w:tr>
      <w:tr>
        <w:tc>
          <w:tcPr>
            <w:tcW w:type="dxa" w:w="5040"/>
            <w:vAlign w:val="center"/>
          </w:tcPr>
          <w:p>
            <w:r>
              <w:rPr>
                <w:b w:val="0"/>
                <w:sz w:val="18"/>
              </w:rPr>
              <w:t>Split</w:t>
            </w:r>
          </w:p>
        </w:tc>
        <w:tc>
          <w:tcPr>
            <w:tcW w:type="dxa" w:w="5040"/>
            <w:vAlign w:val="center"/>
          </w:tcPr>
          <w:p>
            <w:r>
              <w:rPr>
                <w:b w:val="0"/>
                <w:sz w:val="18"/>
              </w:rPr>
              <w:t>Chronological train/validation/test split</w:t>
            </w:r>
          </w:p>
        </w:tc>
      </w:tr>
      <w:tr>
        <w:tc>
          <w:tcPr>
            <w:tcW w:type="dxa" w:w="5040"/>
            <w:vAlign w:val="center"/>
          </w:tcPr>
          <w:p>
            <w:r>
              <w:rPr>
                <w:b w:val="0"/>
                <w:sz w:val="18"/>
              </w:rPr>
              <w:t>Lookback</w:t>
            </w:r>
          </w:p>
        </w:tc>
        <w:tc>
          <w:tcPr>
            <w:tcW w:type="dxa" w:w="5040"/>
            <w:vAlign w:val="center"/>
          </w:tcPr>
          <w:p>
            <w:r>
              <w:rPr>
                <w:b w:val="0"/>
                <w:sz w:val="18"/>
              </w:rPr>
              <w:t>30 windows</w:t>
            </w:r>
          </w:p>
        </w:tc>
      </w:tr>
      <w:tr>
        <w:tc>
          <w:tcPr>
            <w:tcW w:type="dxa" w:w="5040"/>
            <w:vAlign w:val="center"/>
          </w:tcPr>
          <w:p>
            <w:r>
              <w:rPr>
                <w:b w:val="0"/>
                <w:sz w:val="18"/>
              </w:rPr>
              <w:t>Purge and embargo</w:t>
            </w:r>
          </w:p>
        </w:tc>
        <w:tc>
          <w:tcPr>
            <w:tcW w:type="dxa" w:w="5040"/>
            <w:vAlign w:val="center"/>
          </w:tcPr>
          <w:p>
            <w:r>
              <w:rPr>
                <w:b w:val="0"/>
                <w:sz w:val="18"/>
              </w:rPr>
              <w:t>35 windows at split boundaries</w:t>
            </w:r>
          </w:p>
        </w:tc>
      </w:tr>
      <w:tr>
        <w:tc>
          <w:tcPr>
            <w:tcW w:type="dxa" w:w="5040"/>
            <w:vAlign w:val="center"/>
          </w:tcPr>
          <w:p>
            <w:r>
              <w:rPr>
                <w:b w:val="0"/>
                <w:sz w:val="18"/>
              </w:rPr>
              <w:t>Preprocessing</w:t>
            </w:r>
          </w:p>
        </w:tc>
        <w:tc>
          <w:tcPr>
            <w:tcW w:type="dxa" w:w="5040"/>
            <w:vAlign w:val="center"/>
          </w:tcPr>
          <w:p>
            <w:r>
              <w:rPr>
                <w:b w:val="0"/>
                <w:sz w:val="18"/>
              </w:rPr>
              <w:t>Uses the canonical UCS representation; no test fitting</w:t>
            </w:r>
          </w:p>
        </w:tc>
      </w:tr>
      <w:tr>
        <w:tc>
          <w:tcPr>
            <w:tcW w:type="dxa" w:w="5040"/>
            <w:vAlign w:val="center"/>
          </w:tcPr>
          <w:p>
            <w:r>
              <w:rPr>
                <w:b w:val="0"/>
                <w:sz w:val="18"/>
              </w:rPr>
              <w:t>Model selection</w:t>
            </w:r>
          </w:p>
        </w:tc>
        <w:tc>
          <w:tcPr>
            <w:tcW w:type="dxa" w:w="5040"/>
            <w:vAlign w:val="center"/>
          </w:tcPr>
          <w:p>
            <w:r>
              <w:rPr>
                <w:b w:val="0"/>
                <w:sz w:val="18"/>
              </w:rPr>
              <w:t>Validation Gaussian NLL</w:t>
            </w:r>
          </w:p>
        </w:tc>
      </w:tr>
      <w:tr>
        <w:tc>
          <w:tcPr>
            <w:tcW w:type="dxa" w:w="5040"/>
            <w:vAlign w:val="center"/>
          </w:tcPr>
          <w:p>
            <w:r>
              <w:rPr>
                <w:b w:val="0"/>
                <w:sz w:val="18"/>
              </w:rPr>
              <w:t>Final reporting</w:t>
            </w:r>
          </w:p>
        </w:tc>
        <w:tc>
          <w:tcPr>
            <w:tcW w:type="dxa" w:w="5040"/>
            <w:vAlign w:val="center"/>
          </w:tcPr>
          <w:p>
            <w:r>
              <w:rPr>
                <w:b w:val="0"/>
                <w:sz w:val="18"/>
              </w:rPr>
              <w:t>Chronological test split</w:t>
            </w:r>
          </w:p>
        </w:tc>
      </w:tr>
      <w:tr>
        <w:tc>
          <w:tcPr>
            <w:tcW w:type="dxa" w:w="5040"/>
            <w:vAlign w:val="center"/>
          </w:tcPr>
          <w:p>
            <w:r>
              <w:rPr>
                <w:b w:val="0"/>
                <w:sz w:val="18"/>
              </w:rPr>
              <w:t>Episode metadata</w:t>
            </w:r>
          </w:p>
        </w:tc>
        <w:tc>
          <w:tcPr>
            <w:tcW w:type="dxa" w:w="5040"/>
            <w:vAlign w:val="center"/>
          </w:tcPr>
          <w:p>
            <w:r>
              <w:rPr>
                <w:b w:val="0"/>
                <w:sz w:val="18"/>
              </w:rPr>
              <w:t>episode_id unavailable; source_day never used as an episode ID</w:t>
            </w:r>
          </w:p>
        </w:tc>
      </w:tr>
    </w:tbl>
    <w:p/>
    <w:p>
      <w:pPr>
        <w:pStyle w:val="Heading1"/>
      </w:pPr>
      <w:r>
        <w:t>4. Completed Implementation</w:t>
      </w:r>
    </w:p>
    <w:p>
      <w:pPr>
        <w:pStyle w:val="ListBullet"/>
      </w:pPr>
      <w:r>
        <w:t>Probabilistic Gaussian next-state model with explicit mean and strictly positive standard deviation outputs.</w:t>
      </w:r>
    </w:p>
    <w:p>
      <w:pPr>
        <w:pStyle w:val="ListBullet"/>
      </w:pPr>
      <w:r>
        <w:t>Stable Gaussian NLL with finite-loss and gradient tests.</w:t>
      </w:r>
    </w:p>
    <w:p>
      <w:pPr>
        <w:pStyle w:val="ListBullet"/>
      </w:pPr>
      <w:r>
        <w:t>80% and 95% dimension-wise prediction intervals and empirical coverage.</w:t>
      </w:r>
    </w:p>
    <w:p>
      <w:pPr>
        <w:pStyle w:val="ListBullet"/>
      </w:pPr>
      <w:r>
        <w:t>Uncertainty-aware recursive rollout for K=1, K=2, and K=3.</w:t>
      </w:r>
    </w:p>
    <w:p>
      <w:pPr>
        <w:pStyle w:val="ListBullet"/>
      </w:pPr>
      <w:r>
        <w:t>Persistence and lagged-linear next-state baselines.</w:t>
      </w:r>
    </w:p>
    <w:p>
      <w:pPr>
        <w:pStyle w:val="ListBullet"/>
      </w:pPr>
      <w:r>
        <w:t>Feature-group attribution by masking standardized/input features.</w:t>
      </w:r>
    </w:p>
    <w:p>
      <w:pPr>
        <w:pStyle w:val="ListBullet"/>
      </w:pPr>
      <w:r>
        <w:t>Feature-group deletion tests with MAE, RMSE, and delta metrics.</w:t>
      </w:r>
    </w:p>
    <w:p>
      <w:pPr>
        <w:pStyle w:val="ListBullet"/>
      </w:pPr>
      <w:r>
        <w:t>Chronological transition-deviation score based on next-state MAE.</w:t>
      </w:r>
    </w:p>
    <w:p>
      <w:pPr>
        <w:pStyle w:val="ListBullet"/>
      </w:pPr>
      <w:r>
        <w:t>Configuration-driven seed, model, optimizer, early-stopping, rollout, and interval settings.</w:t>
      </w:r>
    </w:p>
    <w:p>
      <w:pPr>
        <w:pStyle w:val="ListBullet"/>
      </w:pPr>
      <w:r>
        <w:t>Explicit per-dimension prediction errors in saved one-step artifacts.</w:t>
      </w:r>
    </w:p>
    <w:p>
      <w:pPr>
        <w:pStyle w:val="ListBullet"/>
      </w:pPr>
      <w:r>
        <w:t>LOEO safety guard requiring episode_id and rejecting source_day.</w:t>
      </w:r>
    </w:p>
    <w:p>
      <w:pPr>
        <w:pStyle w:val="ListBullet"/>
      </w:pPr>
      <w:r>
        <w:t>Regression tests and full-suite verification.</w:t>
      </w:r>
    </w:p>
    <w:p>
      <w:pPr>
        <w:pStyle w:val="Heading1"/>
      </w:pPr>
      <w:r>
        <w:t>5. One-Step Results</w:t>
      </w:r>
    </w:p>
    <w:p>
      <w:r>
        <w:t>Protocol: chronological split. Representation: UCS feature space supplied to the LSTM.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vAlign w:val="center"/>
            <w:shd w:fill="D9EAF7"/>
          </w:tcPr>
          <w:p>
            <w:r>
              <w:rPr>
                <w:b/>
                <w:sz w:val="18"/>
              </w:rPr>
              <w:t>Split</w:t>
            </w:r>
          </w:p>
        </w:tc>
        <w:tc>
          <w:tcPr>
            <w:tcW w:type="dxa" w:w="1440"/>
            <w:vAlign w:val="center"/>
            <w:shd w:fill="D9EAF7"/>
          </w:tcPr>
          <w:p>
            <w:r>
              <w:rPr>
                <w:b/>
                <w:sz w:val="18"/>
              </w:rPr>
              <w:t>NLL</w:t>
            </w:r>
          </w:p>
        </w:tc>
        <w:tc>
          <w:tcPr>
            <w:tcW w:type="dxa" w:w="1440"/>
            <w:vAlign w:val="center"/>
            <w:shd w:fill="D9EAF7"/>
          </w:tcPr>
          <w:p>
            <w:r>
              <w:rPr>
                <w:b/>
                <w:sz w:val="18"/>
              </w:rPr>
              <w:t>MAE</w:t>
            </w:r>
          </w:p>
        </w:tc>
        <w:tc>
          <w:tcPr>
            <w:tcW w:type="dxa" w:w="1440"/>
            <w:vAlign w:val="center"/>
            <w:shd w:fill="D9EAF7"/>
          </w:tcPr>
          <w:p>
            <w:r>
              <w:rPr>
                <w:b/>
                <w:sz w:val="18"/>
              </w:rPr>
              <w:t>RMSE</w:t>
            </w:r>
          </w:p>
        </w:tc>
        <w:tc>
          <w:tcPr>
            <w:tcW w:type="dxa" w:w="1440"/>
            <w:vAlign w:val="center"/>
            <w:shd w:fill="D9EAF7"/>
          </w:tcPr>
          <w:p>
            <w:r>
              <w:rPr>
                <w:b/>
                <w:sz w:val="18"/>
              </w:rPr>
              <w:t>Mean sigma</w:t>
            </w:r>
          </w:p>
        </w:tc>
        <w:tc>
          <w:tcPr>
            <w:tcW w:type="dxa" w:w="1440"/>
            <w:vAlign w:val="center"/>
            <w:shd w:fill="D9EAF7"/>
          </w:tcPr>
          <w:p>
            <w:r>
              <w:rPr>
                <w:b/>
                <w:sz w:val="18"/>
              </w:rPr>
              <w:t>80% coverage</w:t>
            </w:r>
          </w:p>
        </w:tc>
        <w:tc>
          <w:tcPr>
            <w:tcW w:type="dxa" w:w="1440"/>
            <w:vAlign w:val="center"/>
            <w:shd w:fill="D9EAF7"/>
          </w:tcPr>
          <w:p>
            <w:r>
              <w:rPr>
                <w:b/>
                <w:sz w:val="18"/>
              </w:rPr>
              <w:t>95% coverage</w:t>
            </w:r>
          </w:p>
        </w:tc>
      </w:tr>
      <w:tr>
        <w:tc>
          <w:tcPr>
            <w:tcW w:type="dxa" w:w="1440"/>
            <w:vAlign w:val="center"/>
          </w:tcPr>
          <w:p>
            <w:r>
              <w:rPr>
                <w:b w:val="0"/>
                <w:sz w:val="18"/>
              </w:rPr>
              <w:t>Train</w:t>
            </w:r>
          </w:p>
        </w:tc>
        <w:tc>
          <w:tcPr>
            <w:tcW w:type="dxa" w:w="1440"/>
            <w:vAlign w:val="center"/>
          </w:tcPr>
          <w:p>
            <w:r>
              <w:rPr>
                <w:b w:val="0"/>
                <w:sz w:val="18"/>
              </w:rPr>
              <w:t>2956.1665</w:t>
            </w:r>
          </w:p>
        </w:tc>
        <w:tc>
          <w:tcPr>
            <w:tcW w:type="dxa" w:w="1440"/>
            <w:vAlign w:val="center"/>
          </w:tcPr>
          <w:p>
            <w:r>
              <w:rPr>
                <w:b w:val="0"/>
                <w:sz w:val="18"/>
              </w:rPr>
              <w:t>12.9400</w:t>
            </w:r>
          </w:p>
        </w:tc>
        <w:tc>
          <w:tcPr>
            <w:tcW w:type="dxa" w:w="1440"/>
            <w:vAlign w:val="center"/>
          </w:tcPr>
          <w:p>
            <w:r>
              <w:rPr>
                <w:b w:val="0"/>
                <w:sz w:val="18"/>
              </w:rPr>
              <w:t>913.0452</w:t>
            </w:r>
          </w:p>
        </w:tc>
        <w:tc>
          <w:tcPr>
            <w:tcW w:type="dxa" w:w="1440"/>
            <w:vAlign w:val="center"/>
          </w:tcPr>
          <w:p>
            <w:r>
              <w:rPr>
                <w:b w:val="0"/>
                <w:sz w:val="18"/>
              </w:rPr>
              <w:t>1.1686</w:t>
            </w:r>
          </w:p>
        </w:tc>
        <w:tc>
          <w:tcPr>
            <w:tcW w:type="dxa" w:w="1440"/>
            <w:vAlign w:val="center"/>
          </w:tcPr>
          <w:p>
            <w:r>
              <w:rPr>
                <w:b w:val="0"/>
                <w:sz w:val="18"/>
              </w:rPr>
              <w:t>89.24%</w:t>
            </w:r>
          </w:p>
        </w:tc>
        <w:tc>
          <w:tcPr>
            <w:tcW w:type="dxa" w:w="1440"/>
            <w:vAlign w:val="center"/>
          </w:tcPr>
          <w:p>
            <w:r>
              <w:rPr>
                <w:b w:val="0"/>
                <w:sz w:val="18"/>
              </w:rPr>
              <w:t>95.60%</w:t>
            </w:r>
          </w:p>
        </w:tc>
      </w:tr>
      <w:tr>
        <w:tc>
          <w:tcPr>
            <w:tcW w:type="dxa" w:w="1440"/>
            <w:vAlign w:val="center"/>
          </w:tcPr>
          <w:p>
            <w:r>
              <w:rPr>
                <w:b w:val="0"/>
                <w:sz w:val="18"/>
              </w:rPr>
              <w:t>Validation</w:t>
            </w:r>
          </w:p>
        </w:tc>
        <w:tc>
          <w:tcPr>
            <w:tcW w:type="dxa" w:w="1440"/>
            <w:vAlign w:val="center"/>
          </w:tcPr>
          <w:p>
            <w:r>
              <w:rPr>
                <w:b w:val="0"/>
                <w:sz w:val="18"/>
              </w:rPr>
              <w:t>18.8250</w:t>
            </w:r>
          </w:p>
        </w:tc>
        <w:tc>
          <w:tcPr>
            <w:tcW w:type="dxa" w:w="1440"/>
            <w:vAlign w:val="center"/>
          </w:tcPr>
          <w:p>
            <w:r>
              <w:rPr>
                <w:b w:val="0"/>
                <w:sz w:val="18"/>
              </w:rPr>
              <w:t>1.7834</w:t>
            </w:r>
          </w:p>
        </w:tc>
        <w:tc>
          <w:tcPr>
            <w:tcW w:type="dxa" w:w="1440"/>
            <w:vAlign w:val="center"/>
          </w:tcPr>
          <w:p>
            <w:r>
              <w:rPr>
                <w:b w:val="0"/>
                <w:sz w:val="18"/>
              </w:rPr>
              <w:t>33.3387</w:t>
            </w:r>
          </w:p>
        </w:tc>
        <w:tc>
          <w:tcPr>
            <w:tcW w:type="dxa" w:w="1440"/>
            <w:vAlign w:val="center"/>
          </w:tcPr>
          <w:p>
            <w:r>
              <w:rPr>
                <w:b w:val="0"/>
                <w:sz w:val="18"/>
              </w:rPr>
              <w:t>1.5541</w:t>
            </w:r>
          </w:p>
        </w:tc>
        <w:tc>
          <w:tcPr>
            <w:tcW w:type="dxa" w:w="1440"/>
            <w:vAlign w:val="center"/>
          </w:tcPr>
          <w:p>
            <w:r>
              <w:rPr>
                <w:b w:val="0"/>
                <w:sz w:val="18"/>
              </w:rPr>
              <w:t>85.80%</w:t>
            </w:r>
          </w:p>
        </w:tc>
        <w:tc>
          <w:tcPr>
            <w:tcW w:type="dxa" w:w="1440"/>
            <w:vAlign w:val="center"/>
          </w:tcPr>
          <w:p>
            <w:r>
              <w:rPr>
                <w:b w:val="0"/>
                <w:sz w:val="18"/>
              </w:rPr>
              <w:t>92.95%</w:t>
            </w:r>
          </w:p>
        </w:tc>
      </w:tr>
      <w:tr>
        <w:tc>
          <w:tcPr>
            <w:tcW w:type="dxa" w:w="1440"/>
            <w:vAlign w:val="center"/>
          </w:tcPr>
          <w:p>
            <w:r>
              <w:rPr>
                <w:b w:val="0"/>
                <w:sz w:val="18"/>
              </w:rPr>
              <w:t>Test</w:t>
            </w:r>
          </w:p>
        </w:tc>
        <w:tc>
          <w:tcPr>
            <w:tcW w:type="dxa" w:w="1440"/>
            <w:vAlign w:val="center"/>
          </w:tcPr>
          <w:p>
            <w:r>
              <w:rPr>
                <w:b w:val="0"/>
                <w:sz w:val="18"/>
              </w:rPr>
              <w:t>1.0139</w:t>
            </w:r>
          </w:p>
        </w:tc>
        <w:tc>
          <w:tcPr>
            <w:tcW w:type="dxa" w:w="1440"/>
            <w:vAlign w:val="center"/>
          </w:tcPr>
          <w:p>
            <w:r>
              <w:rPr>
                <w:b w:val="0"/>
                <w:sz w:val="18"/>
              </w:rPr>
              <w:t>0.5546</w:t>
            </w:r>
          </w:p>
        </w:tc>
        <w:tc>
          <w:tcPr>
            <w:tcW w:type="dxa" w:w="1440"/>
            <w:vAlign w:val="center"/>
          </w:tcPr>
          <w:p>
            <w:r>
              <w:rPr>
                <w:b w:val="0"/>
                <w:sz w:val="18"/>
              </w:rPr>
              <w:t>2.9163</w:t>
            </w:r>
          </w:p>
        </w:tc>
        <w:tc>
          <w:tcPr>
            <w:tcW w:type="dxa" w:w="1440"/>
            <w:vAlign w:val="center"/>
          </w:tcPr>
          <w:p>
            <w:r>
              <w:rPr>
                <w:b w:val="0"/>
                <w:sz w:val="18"/>
              </w:rPr>
              <w:t>0.6743</w:t>
            </w:r>
          </w:p>
        </w:tc>
        <w:tc>
          <w:tcPr>
            <w:tcW w:type="dxa" w:w="1440"/>
            <w:vAlign w:val="center"/>
          </w:tcPr>
          <w:p>
            <w:r>
              <w:rPr>
                <w:b w:val="0"/>
                <w:sz w:val="18"/>
              </w:rPr>
              <w:t>84.81%</w:t>
            </w:r>
          </w:p>
        </w:tc>
        <w:tc>
          <w:tcPr>
            <w:tcW w:type="dxa" w:w="1440"/>
            <w:vAlign w:val="center"/>
          </w:tcPr>
          <w:p>
            <w:r>
              <w:rPr>
                <w:b w:val="0"/>
                <w:sz w:val="18"/>
              </w:rPr>
              <w:t>93.48%</w:t>
            </w:r>
          </w:p>
        </w:tc>
      </w:tr>
    </w:tbl>
    <w:p/>
    <w:p>
      <w:r>
        <w:t>Train-validation NLL gap: 2937.3415. This is a large gap and is an important generalization limitation.</w:t>
      </w:r>
    </w:p>
    <w:p>
      <w:pPr>
        <w:pStyle w:val="Heading1"/>
      </w:pPr>
      <w:r>
        <w:t>6. Baseline Comparison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vAlign w:val="center"/>
            <w:shd w:fill="D9EAF7"/>
          </w:tcPr>
          <w:p>
            <w:r>
              <w:rPr>
                <w:b/>
                <w:sz w:val="18"/>
              </w:rPr>
              <w:t>Model</w:t>
            </w:r>
          </w:p>
        </w:tc>
        <w:tc>
          <w:tcPr>
            <w:tcW w:type="dxa" w:w="2520"/>
            <w:vAlign w:val="center"/>
            <w:shd w:fill="D9EAF7"/>
          </w:tcPr>
          <w:p>
            <w:r>
              <w:rPr>
                <w:b/>
                <w:sz w:val="18"/>
              </w:rPr>
              <w:t>MAE</w:t>
            </w:r>
          </w:p>
        </w:tc>
        <w:tc>
          <w:tcPr>
            <w:tcW w:type="dxa" w:w="2520"/>
            <w:vAlign w:val="center"/>
            <w:shd w:fill="D9EAF7"/>
          </w:tcPr>
          <w:p>
            <w:r>
              <w:rPr>
                <w:b/>
                <w:sz w:val="18"/>
              </w:rPr>
              <w:t>RMSE</w:t>
            </w:r>
          </w:p>
        </w:tc>
        <w:tc>
          <w:tcPr>
            <w:tcW w:type="dxa" w:w="2520"/>
            <w:vAlign w:val="center"/>
            <w:shd w:fill="D9EAF7"/>
          </w:tcPr>
          <w:p>
            <w:r>
              <w:rPr>
                <w:b/>
                <w:sz w:val="18"/>
              </w:rPr>
              <w:t>MSE</w:t>
            </w:r>
          </w:p>
        </w:tc>
      </w:tr>
      <w:tr>
        <w:tc>
          <w:tcPr>
            <w:tcW w:type="dxa" w:w="2520"/>
            <w:vAlign w:val="center"/>
          </w:tcPr>
          <w:p>
            <w:r>
              <w:rPr>
                <w:b w:val="0"/>
                <w:sz w:val="18"/>
              </w:rPr>
              <w:t>Persistence</w:t>
            </w:r>
          </w:p>
        </w:tc>
        <w:tc>
          <w:tcPr>
            <w:tcW w:type="dxa" w:w="2520"/>
            <w:vAlign w:val="center"/>
          </w:tcPr>
          <w:p>
            <w:r>
              <w:rPr>
                <w:b w:val="0"/>
                <w:sz w:val="18"/>
              </w:rPr>
              <w:t>0.4744</w:t>
            </w:r>
          </w:p>
        </w:tc>
        <w:tc>
          <w:tcPr>
            <w:tcW w:type="dxa" w:w="2520"/>
            <w:vAlign w:val="center"/>
          </w:tcPr>
          <w:p>
            <w:r>
              <w:rPr>
                <w:b w:val="0"/>
                <w:sz w:val="18"/>
              </w:rPr>
              <w:t>3.6754</w:t>
            </w:r>
          </w:p>
        </w:tc>
        <w:tc>
          <w:tcPr>
            <w:tcW w:type="dxa" w:w="2520"/>
            <w:vAlign w:val="center"/>
          </w:tcPr>
          <w:p>
            <w:r>
              <w:rPr>
                <w:b w:val="0"/>
                <w:sz w:val="18"/>
              </w:rPr>
              <w:t>13.5084</w:t>
            </w:r>
          </w:p>
        </w:tc>
      </w:tr>
      <w:tr>
        <w:tc>
          <w:tcPr>
            <w:tcW w:type="dxa" w:w="2520"/>
            <w:vAlign w:val="center"/>
          </w:tcPr>
          <w:p>
            <w:r>
              <w:rPr>
                <w:b w:val="0"/>
                <w:sz w:val="18"/>
              </w:rPr>
              <w:t>Lagged linear regression</w:t>
            </w:r>
          </w:p>
        </w:tc>
        <w:tc>
          <w:tcPr>
            <w:tcW w:type="dxa" w:w="2520"/>
            <w:vAlign w:val="center"/>
          </w:tcPr>
          <w:p>
            <w:r>
              <w:rPr>
                <w:b w:val="0"/>
                <w:sz w:val="18"/>
              </w:rPr>
              <w:t>22.9876</w:t>
            </w:r>
          </w:p>
        </w:tc>
        <w:tc>
          <w:tcPr>
            <w:tcW w:type="dxa" w:w="2520"/>
            <w:vAlign w:val="center"/>
          </w:tcPr>
          <w:p>
            <w:r>
              <w:rPr>
                <w:b w:val="0"/>
                <w:sz w:val="18"/>
              </w:rPr>
              <w:t>361.3633</w:t>
            </w:r>
          </w:p>
        </w:tc>
        <w:tc>
          <w:tcPr>
            <w:tcW w:type="dxa" w:w="2520"/>
            <w:vAlign w:val="center"/>
          </w:tcPr>
          <w:p>
            <w:r>
              <w:rPr>
                <w:b w:val="0"/>
                <w:sz w:val="18"/>
              </w:rPr>
              <w:t>130583.4688</w:t>
            </w:r>
          </w:p>
        </w:tc>
      </w:tr>
      <w:tr>
        <w:tc>
          <w:tcPr>
            <w:tcW w:type="dxa" w:w="2520"/>
            <w:vAlign w:val="center"/>
          </w:tcPr>
          <w:p>
            <w:r>
              <w:rPr>
                <w:b w:val="0"/>
                <w:sz w:val="18"/>
              </w:rPr>
              <w:t>LSTM Gaussian mean</w:t>
            </w:r>
          </w:p>
        </w:tc>
        <w:tc>
          <w:tcPr>
            <w:tcW w:type="dxa" w:w="2520"/>
            <w:vAlign w:val="center"/>
          </w:tcPr>
          <w:p>
            <w:r>
              <w:rPr>
                <w:b w:val="0"/>
                <w:sz w:val="18"/>
              </w:rPr>
              <w:t>0.5546</w:t>
            </w:r>
          </w:p>
        </w:tc>
        <w:tc>
          <w:tcPr>
            <w:tcW w:type="dxa" w:w="2520"/>
            <w:vAlign w:val="center"/>
          </w:tcPr>
          <w:p>
            <w:r>
              <w:rPr>
                <w:b w:val="0"/>
                <w:sz w:val="18"/>
              </w:rPr>
              <w:t>2.9163</w:t>
            </w:r>
          </w:p>
        </w:tc>
        <w:tc>
          <w:tcPr>
            <w:tcW w:type="dxa" w:w="2520"/>
            <w:vAlign w:val="center"/>
          </w:tcPr>
          <w:p>
            <w:r>
              <w:rPr>
                <w:b w:val="0"/>
                <w:sz w:val="18"/>
              </w:rPr>
              <w:t>8.5048</w:t>
            </w:r>
          </w:p>
        </w:tc>
      </w:tr>
    </w:tbl>
    <w:p/>
    <w:p>
      <w:r>
        <w:t>The lagged-linear baseline is numerically unstable on this 406-dimensional representation. It is retained as a transparent baseline, but its large error should not be interpreted as evidence that the Gaussian model is universally superior.</w:t>
      </w:r>
    </w:p>
    <w:p>
      <w:pPr>
        <w:pStyle w:val="Heading1"/>
      </w:pPr>
      <w:r>
        <w:t>7. Recursive Rollout Results</w:t>
      </w:r>
    </w:p>
    <w:p>
      <w:r>
        <w:t>Protocol: chronological split. The Gaussian model uses its own predicted mean as the next history state. Actual future states are never inserted into the recursive history.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80"/>
        <w:gridCol w:w="1680"/>
        <w:gridCol w:w="1680"/>
        <w:gridCol w:w="1680"/>
        <w:gridCol w:w="1680"/>
        <w:gridCol w:w="1680"/>
      </w:tblGrid>
      <w:tr>
        <w:tc>
          <w:tcPr>
            <w:tcW w:type="dxa" w:w="1680"/>
            <w:vAlign w:val="center"/>
            <w:shd w:fill="D9EAF7"/>
          </w:tcPr>
          <w:p>
            <w:r>
              <w:rPr>
                <w:b/>
                <w:sz w:val="18"/>
              </w:rPr>
              <w:t>K</w:t>
            </w:r>
          </w:p>
        </w:tc>
        <w:tc>
          <w:tcPr>
            <w:tcW w:type="dxa" w:w="1680"/>
            <w:vAlign w:val="center"/>
            <w:shd w:fill="D9EAF7"/>
          </w:tcPr>
          <w:p>
            <w:r>
              <w:rPr>
                <w:b/>
                <w:sz w:val="18"/>
              </w:rPr>
              <w:t>Persistence RMSE</w:t>
            </w:r>
          </w:p>
        </w:tc>
        <w:tc>
          <w:tcPr>
            <w:tcW w:type="dxa" w:w="1680"/>
            <w:vAlign w:val="center"/>
            <w:shd w:fill="D9EAF7"/>
          </w:tcPr>
          <w:p>
            <w:r>
              <w:rPr>
                <w:b/>
                <w:sz w:val="18"/>
              </w:rPr>
              <w:t>Lagged-LR RMSE</w:t>
            </w:r>
          </w:p>
        </w:tc>
        <w:tc>
          <w:tcPr>
            <w:tcW w:type="dxa" w:w="1680"/>
            <w:vAlign w:val="center"/>
            <w:shd w:fill="D9EAF7"/>
          </w:tcPr>
          <w:p>
            <w:r>
              <w:rPr>
                <w:b/>
                <w:sz w:val="18"/>
              </w:rPr>
              <w:t>LSTM-Gaussian RMSE</w:t>
            </w:r>
          </w:p>
        </w:tc>
        <w:tc>
          <w:tcPr>
            <w:tcW w:type="dxa" w:w="1680"/>
            <w:vAlign w:val="center"/>
            <w:shd w:fill="D9EAF7"/>
          </w:tcPr>
          <w:p>
            <w:r>
              <w:rPr>
                <w:b/>
                <w:sz w:val="18"/>
              </w:rPr>
              <w:t>Gaussian 80% coverage</w:t>
            </w:r>
          </w:p>
        </w:tc>
        <w:tc>
          <w:tcPr>
            <w:tcW w:type="dxa" w:w="1680"/>
            <w:vAlign w:val="center"/>
            <w:shd w:fill="D9EAF7"/>
          </w:tcPr>
          <w:p>
            <w:r>
              <w:rPr>
                <w:b/>
                <w:sz w:val="18"/>
              </w:rPr>
              <w:t>Gaussian 95% coverage</w:t>
            </w:r>
          </w:p>
        </w:tc>
      </w:tr>
      <w:tr>
        <w:tc>
          <w:tcPr>
            <w:tcW w:type="dxa" w:w="1680"/>
            <w:vAlign w:val="center"/>
          </w:tcPr>
          <w:p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1680"/>
            <w:vAlign w:val="center"/>
          </w:tcPr>
          <w:p>
            <w:r>
              <w:rPr>
                <w:b w:val="0"/>
                <w:sz w:val="18"/>
              </w:rPr>
              <w:t>3.1483</w:t>
            </w:r>
          </w:p>
        </w:tc>
        <w:tc>
          <w:tcPr>
            <w:tcW w:type="dxa" w:w="1680"/>
            <w:vAlign w:val="center"/>
          </w:tcPr>
          <w:p>
            <w:r>
              <w:rPr>
                <w:b w:val="0"/>
                <w:sz w:val="18"/>
              </w:rPr>
              <w:t>363.5053</w:t>
            </w:r>
          </w:p>
        </w:tc>
        <w:tc>
          <w:tcPr>
            <w:tcW w:type="dxa" w:w="1680"/>
            <w:vAlign w:val="center"/>
          </w:tcPr>
          <w:p>
            <w:r>
              <w:rPr>
                <w:b w:val="0"/>
                <w:sz w:val="18"/>
              </w:rPr>
              <w:t>1.8711</w:t>
            </w:r>
          </w:p>
        </w:tc>
        <w:tc>
          <w:tcPr>
            <w:tcW w:type="dxa" w:w="1680"/>
            <w:vAlign w:val="center"/>
          </w:tcPr>
          <w:p>
            <w:r>
              <w:rPr>
                <w:b w:val="0"/>
                <w:sz w:val="18"/>
              </w:rPr>
              <w:t>84.88%</w:t>
            </w:r>
          </w:p>
        </w:tc>
        <w:tc>
          <w:tcPr>
            <w:tcW w:type="dxa" w:w="1680"/>
            <w:vAlign w:val="center"/>
          </w:tcPr>
          <w:p>
            <w:r>
              <w:rPr>
                <w:b w:val="0"/>
                <w:sz w:val="18"/>
              </w:rPr>
              <w:t>93.54%</w:t>
            </w:r>
          </w:p>
        </w:tc>
      </w:tr>
      <w:tr>
        <w:tc>
          <w:tcPr>
            <w:tcW w:type="dxa" w:w="1680"/>
            <w:vAlign w:val="center"/>
          </w:tcPr>
          <w:p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1680"/>
            <w:vAlign w:val="center"/>
          </w:tcPr>
          <w:p>
            <w:r>
              <w:rPr>
                <w:b w:val="0"/>
                <w:sz w:val="18"/>
              </w:rPr>
              <w:t>3.0459</w:t>
            </w:r>
          </w:p>
        </w:tc>
        <w:tc>
          <w:tcPr>
            <w:tcW w:type="dxa" w:w="1680"/>
            <w:vAlign w:val="center"/>
          </w:tcPr>
          <w:p>
            <w:r>
              <w:rPr>
                <w:b w:val="0"/>
                <w:sz w:val="18"/>
              </w:rPr>
              <w:t>879.3901</w:t>
            </w:r>
          </w:p>
        </w:tc>
        <w:tc>
          <w:tcPr>
            <w:tcW w:type="dxa" w:w="1680"/>
            <w:vAlign w:val="center"/>
          </w:tcPr>
          <w:p>
            <w:r>
              <w:rPr>
                <w:b w:val="0"/>
                <w:sz w:val="18"/>
              </w:rPr>
              <w:t>2.0784</w:t>
            </w:r>
          </w:p>
        </w:tc>
        <w:tc>
          <w:tcPr>
            <w:tcW w:type="dxa" w:w="1680"/>
            <w:vAlign w:val="center"/>
          </w:tcPr>
          <w:p>
            <w:r>
              <w:rPr>
                <w:b w:val="0"/>
                <w:sz w:val="18"/>
              </w:rPr>
              <w:t>83.61%</w:t>
            </w:r>
          </w:p>
        </w:tc>
        <w:tc>
          <w:tcPr>
            <w:tcW w:type="dxa" w:w="1680"/>
            <w:vAlign w:val="center"/>
          </w:tcPr>
          <w:p>
            <w:r>
              <w:rPr>
                <w:b w:val="0"/>
                <w:sz w:val="18"/>
              </w:rPr>
              <w:t>92.39%</w:t>
            </w:r>
          </w:p>
        </w:tc>
      </w:tr>
      <w:tr>
        <w:tc>
          <w:tcPr>
            <w:tcW w:type="dxa" w:w="1680"/>
            <w:vAlign w:val="center"/>
          </w:tcPr>
          <w:p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1680"/>
            <w:vAlign w:val="center"/>
          </w:tcPr>
          <w:p>
            <w:r>
              <w:rPr>
                <w:b w:val="0"/>
                <w:sz w:val="18"/>
              </w:rPr>
              <w:t>3.8918</w:t>
            </w:r>
          </w:p>
        </w:tc>
        <w:tc>
          <w:tcPr>
            <w:tcW w:type="dxa" w:w="1680"/>
            <w:vAlign w:val="center"/>
          </w:tcPr>
          <w:p>
            <w:r>
              <w:rPr>
                <w:b w:val="0"/>
                <w:sz w:val="18"/>
              </w:rPr>
              <w:t>5617.6631</w:t>
            </w:r>
          </w:p>
        </w:tc>
        <w:tc>
          <w:tcPr>
            <w:tcW w:type="dxa" w:w="1680"/>
            <w:vAlign w:val="center"/>
          </w:tcPr>
          <w:p>
            <w:r>
              <w:rPr>
                <w:b w:val="0"/>
                <w:sz w:val="18"/>
              </w:rPr>
              <w:t>3.1399</w:t>
            </w:r>
          </w:p>
        </w:tc>
        <w:tc>
          <w:tcPr>
            <w:tcW w:type="dxa" w:w="1680"/>
            <w:vAlign w:val="center"/>
          </w:tcPr>
          <w:p>
            <w:r>
              <w:rPr>
                <w:b w:val="0"/>
                <w:sz w:val="18"/>
              </w:rPr>
              <w:t>82.86%</w:t>
            </w:r>
          </w:p>
        </w:tc>
        <w:tc>
          <w:tcPr>
            <w:tcW w:type="dxa" w:w="1680"/>
            <w:vAlign w:val="center"/>
          </w:tcPr>
          <w:p>
            <w:r>
              <w:rPr>
                <w:b w:val="0"/>
                <w:sz w:val="18"/>
              </w:rPr>
              <w:t>91.63%</w:t>
            </w:r>
          </w:p>
        </w:tc>
      </w:tr>
    </w:tbl>
    <w:p/>
    <w:p>
      <w:r>
        <w:t>On the current chronological test artifact, the LSTM-Gaussian rollout has lower RMSE than persistence at K=1, K=2, and K=3. This supports a preliminary transition-dynamics result, while the large train-validation gap requires cautious interpretation.</w:t>
      </w:r>
    </w:p>
    <w:p>
      <w:pPr>
        <w:pStyle w:val="Heading1"/>
      </w:pPr>
      <w:r>
        <w:t>8. Attribution, Deletion, and Deviation</w:t>
      </w:r>
    </w:p>
    <w:p>
      <w:r>
        <w:t>Feature attribution uses group masking: one UCS feature family is zeroed in the model input representation, and the change in predicted next-state mean is measured. This demonstrates predictive contribution, not causality.</w:t>
      </w:r>
    </w:p>
    <w:p>
      <w:r>
        <w:t>The deletion test reports the change in MAE and RMSE after removing each group. The deviation score is the per-transition mean absolute error between the predicted mean and the actual next UCS state. These are chronological dynamics diagnostics only, not unseen-attack detection results.</w:t>
      </w:r>
    </w:p>
    <w:p>
      <w:pPr>
        <w:pStyle w:val="ListBullet"/>
      </w:pPr>
      <w:r>
        <w:t>Attribution artifact: attribution.json</w:t>
      </w:r>
    </w:p>
    <w:p>
      <w:pPr>
        <w:pStyle w:val="ListBullet"/>
      </w:pPr>
      <w:r>
        <w:t>Deletion artifact: deletion.json</w:t>
      </w:r>
    </w:p>
    <w:p>
      <w:pPr>
        <w:pStyle w:val="ListBullet"/>
      </w:pPr>
      <w:r>
        <w:t>Combined artifact: attribution_deletion.json</w:t>
      </w:r>
    </w:p>
    <w:p>
      <w:pPr>
        <w:pStyle w:val="ListBullet"/>
      </w:pPr>
      <w:r>
        <w:t>Deviation summaries: metrics.json</w:t>
      </w:r>
    </w:p>
    <w:p>
      <w:pPr>
        <w:pStyle w:val="Heading1"/>
      </w:pPr>
      <w:r>
        <w:t>9. Artifacts and Reproducibility</w:t>
      </w:r>
    </w:p>
    <w:p>
      <w:pPr>
        <w:pStyle w:val="ListBullet"/>
      </w:pPr>
      <w:r>
        <w:t>Model checkpoint: artifacts/experiments/world_model_20260904/probabilistic/gaussian_next_state_best.pt</w:t>
      </w:r>
    </w:p>
    <w:p>
      <w:pPr>
        <w:pStyle w:val="ListBullet"/>
      </w:pPr>
      <w:r>
        <w:t>Metrics: artifacts/experiments/world_model_20260904/probabilistic/metrics.json</w:t>
      </w:r>
    </w:p>
    <w:p>
      <w:pPr>
        <w:pStyle w:val="ListBullet"/>
      </w:pPr>
      <w:r>
        <w:t>One-step predictions and intervals: one_step_predictions.json</w:t>
      </w:r>
    </w:p>
    <w:p>
      <w:pPr>
        <w:pStyle w:val="ListBullet"/>
      </w:pPr>
      <w:r>
        <w:t>Rollout predictions: rollout_predictions.json</w:t>
      </w:r>
    </w:p>
    <w:p>
      <w:pPr>
        <w:pStyle w:val="ListBullet"/>
      </w:pPr>
      <w:r>
        <w:t>Rollout curve data: rollout_error_curve.csv</w:t>
      </w:r>
    </w:p>
    <w:p>
      <w:pPr>
        <w:pStyle w:val="ListBullet"/>
      </w:pPr>
      <w:r>
        <w:t>Training history: training_history.json</w:t>
      </w:r>
    </w:p>
    <w:p>
      <w:pPr>
        <w:pStyle w:val="ListBullet"/>
      </w:pPr>
      <w:r>
        <w:t>Configuration and software metadata: metadata.json</w:t>
      </w:r>
    </w:p>
    <w:p>
      <w:r>
        <w:t>Recorded model configuration: hidden size 64, dropout 0.2, batch size 64, learning rate 0.001, weight decay 0.0001, seed 42, and lookback 30.</w:t>
      </w:r>
    </w:p>
    <w:p>
      <w:pPr>
        <w:pStyle w:val="Heading1"/>
      </w:pPr>
      <w:r>
        <w:t>10. Not Completed and Why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vAlign w:val="center"/>
            <w:shd w:fill="D9EAF7"/>
          </w:tcPr>
          <w:p>
            <w:r>
              <w:rPr>
                <w:b/>
                <w:sz w:val="18"/>
              </w:rPr>
              <w:t>Component</w:t>
            </w:r>
          </w:p>
        </w:tc>
        <w:tc>
          <w:tcPr>
            <w:tcW w:type="dxa" w:w="3360"/>
            <w:vAlign w:val="center"/>
            <w:shd w:fill="D9EAF7"/>
          </w:tcPr>
          <w:p>
            <w:r>
              <w:rPr>
                <w:b/>
                <w:sz w:val="18"/>
              </w:rPr>
              <w:t>Status</w:t>
            </w:r>
          </w:p>
        </w:tc>
        <w:tc>
          <w:tcPr>
            <w:tcW w:type="dxa" w:w="3360"/>
            <w:vAlign w:val="center"/>
            <w:shd w:fill="D9EAF7"/>
          </w:tcPr>
          <w:p>
            <w:r>
              <w:rPr>
                <w:b/>
                <w:sz w:val="18"/>
              </w:rPr>
              <w:t>Reason</w:t>
            </w:r>
          </w:p>
        </w:tc>
      </w:tr>
      <w:tr>
        <w:tc>
          <w:tcPr>
            <w:tcW w:type="dxa" w:w="3360"/>
            <w:vAlign w:val="center"/>
          </w:tcPr>
          <w:p>
            <w:r>
              <w:rPr>
                <w:b w:val="0"/>
                <w:sz w:val="18"/>
              </w:rPr>
              <w:t>38-fold LOEO</w:t>
            </w:r>
          </w:p>
        </w:tc>
        <w:tc>
          <w:tcPr>
            <w:tcW w:type="dxa" w:w="3360"/>
            <w:vAlign w:val="center"/>
          </w:tcPr>
          <w:p>
            <w:r>
              <w:rPr>
                <w:b w:val="0"/>
                <w:sz w:val="18"/>
              </w:rPr>
              <w:t>Not completed</w:t>
            </w:r>
          </w:p>
        </w:tc>
        <w:tc>
          <w:tcPr>
            <w:tcW w:type="dxa" w:w="3360"/>
            <w:vAlign w:val="center"/>
          </w:tcPr>
          <w:p>
            <w:r>
              <w:rPr>
                <w:b w:val="0"/>
                <w:sz w:val="18"/>
              </w:rPr>
              <w:t>The current artifact has no episode_id. source_day identifies six source files, not individual attack episodes.</w:t>
            </w:r>
          </w:p>
        </w:tc>
      </w:tr>
      <w:tr>
        <w:tc>
          <w:tcPr>
            <w:tcW w:type="dxa" w:w="3360"/>
            <w:vAlign w:val="center"/>
          </w:tcPr>
          <w:p>
            <w:r>
              <w:rPr>
                <w:b w:val="0"/>
                <w:sz w:val="18"/>
              </w:rPr>
              <w:t>Final onset-hazard evaluation</w:t>
            </w:r>
          </w:p>
        </w:tc>
        <w:tc>
          <w:tcPr>
            <w:tcW w:type="dxa" w:w="3360"/>
            <w:vAlign w:val="center"/>
          </w:tcPr>
          <w:p>
            <w:r>
              <w:rPr>
                <w:b w:val="0"/>
                <w:sz w:val="18"/>
              </w:rPr>
              <w:t>Deferred</w:t>
            </w:r>
          </w:p>
        </w:tc>
        <w:tc>
          <w:tcPr>
            <w:tcW w:type="dxa" w:w="3360"/>
            <w:vAlign w:val="center"/>
          </w:tcPr>
          <w:p>
            <w:r>
              <w:rPr>
                <w:b w:val="0"/>
                <w:sz w:val="18"/>
              </w:rPr>
              <w:t>Requires valid attack episode IDs and retrained-per-fold LOEO evaluation.</w:t>
            </w:r>
          </w:p>
        </w:tc>
      </w:tr>
      <w:tr>
        <w:tc>
          <w:tcPr>
            <w:tcW w:type="dxa" w:w="3360"/>
            <w:vAlign w:val="center"/>
          </w:tcPr>
          <w:p>
            <w:r>
              <w:rPr>
                <w:b w:val="0"/>
                <w:sz w:val="18"/>
              </w:rPr>
              <w:t>Episode-level novelty ROC-AUC/PR-AUC</w:t>
            </w:r>
          </w:p>
        </w:tc>
        <w:tc>
          <w:tcPr>
            <w:tcW w:type="dxa" w:w="3360"/>
            <w:vAlign w:val="center"/>
          </w:tcPr>
          <w:p>
            <w:r>
              <w:rPr>
                <w:b w:val="0"/>
                <w:sz w:val="18"/>
              </w:rPr>
              <w:t>Deferred</w:t>
            </w:r>
          </w:p>
        </w:tc>
        <w:tc>
          <w:tcPr>
            <w:tcW w:type="dxa" w:w="3360"/>
            <w:vAlign w:val="center"/>
          </w:tcPr>
          <w:p>
            <w:r>
              <w:rPr>
                <w:b w:val="0"/>
                <w:sz w:val="18"/>
              </w:rPr>
              <w:t>A chronological deviation score exists, but unseen-episode detection requires episode_id and LOEO.</w:t>
            </w:r>
          </w:p>
        </w:tc>
      </w:tr>
      <w:tr>
        <w:tc>
          <w:tcPr>
            <w:tcW w:type="dxa" w:w="3360"/>
            <w:vAlign w:val="center"/>
          </w:tcPr>
          <w:p>
            <w:r>
              <w:rPr>
                <w:b w:val="0"/>
                <w:sz w:val="18"/>
              </w:rPr>
              <w:t>B2 within-episode progression</w:t>
            </w:r>
          </w:p>
        </w:tc>
        <w:tc>
          <w:tcPr>
            <w:tcW w:type="dxa" w:w="3360"/>
            <w:vAlign w:val="center"/>
          </w:tcPr>
          <w:p>
            <w:r>
              <w:rPr>
                <w:b w:val="0"/>
                <w:sz w:val="18"/>
              </w:rPr>
              <w:t>Deferred</w:t>
            </w:r>
          </w:p>
        </w:tc>
        <w:tc>
          <w:tcPr>
            <w:tcW w:type="dxa" w:w="3360"/>
            <w:vAlign w:val="center"/>
          </w:tcPr>
          <w:p>
            <w:r>
              <w:rPr>
                <w:b w:val="0"/>
                <w:sz w:val="18"/>
              </w:rPr>
              <w:t>Requires true within-episode grouping; source_day cannot be substituted.</w:t>
            </w:r>
          </w:p>
        </w:tc>
      </w:tr>
      <w:tr>
        <w:tc>
          <w:tcPr>
            <w:tcW w:type="dxa" w:w="3360"/>
            <w:vAlign w:val="center"/>
          </w:tcPr>
          <w:p>
            <w:r>
              <w:rPr>
                <w:b w:val="0"/>
                <w:sz w:val="18"/>
              </w:rPr>
              <w:t>Attack-onset forecasting claim</w:t>
            </w:r>
          </w:p>
        </w:tc>
        <w:tc>
          <w:tcPr>
            <w:tcW w:type="dxa" w:w="3360"/>
            <w:vAlign w:val="center"/>
          </w:tcPr>
          <w:p>
            <w:r>
              <w:rPr>
                <w:b w:val="0"/>
                <w:sz w:val="18"/>
              </w:rPr>
              <w:t>Not permitted</w:t>
            </w:r>
          </w:p>
        </w:tc>
        <w:tc>
          <w:tcPr>
            <w:tcW w:type="dxa" w:w="3360"/>
            <w:vAlign w:val="center"/>
          </w:tcPr>
          <w:p>
            <w:r>
              <w:rPr>
                <w:b w:val="0"/>
                <w:sz w:val="18"/>
              </w:rPr>
              <w:t>No valid LOEO hazard evidence exists.</w:t>
            </w:r>
          </w:p>
        </w:tc>
      </w:tr>
      <w:tr>
        <w:tc>
          <w:tcPr>
            <w:tcW w:type="dxa" w:w="3360"/>
            <w:vAlign w:val="center"/>
          </w:tcPr>
          <w:p>
            <w:r>
              <w:rPr>
                <w:b w:val="0"/>
                <w:sz w:val="18"/>
              </w:rPr>
              <w:t>PNG rollout plot</w:t>
            </w:r>
          </w:p>
        </w:tc>
        <w:tc>
          <w:tcPr>
            <w:tcW w:type="dxa" w:w="3360"/>
            <w:vAlign w:val="center"/>
          </w:tcPr>
          <w:p>
            <w:r>
              <w:rPr>
                <w:b w:val="0"/>
                <w:sz w:val="18"/>
              </w:rPr>
              <w:t>Environment-dependent</w:t>
            </w:r>
          </w:p>
        </w:tc>
        <w:tc>
          <w:tcPr>
            <w:tcW w:type="dxa" w:w="3360"/>
            <w:vAlign w:val="center"/>
          </w:tcPr>
          <w:p>
            <w:r>
              <w:rPr>
                <w:b w:val="0"/>
                <w:sz w:val="18"/>
              </w:rPr>
              <w:t>CSV curve is generated; the active environment did not successfully import matplotlib.</w:t>
            </w:r>
          </w:p>
        </w:tc>
      </w:tr>
    </w:tbl>
    <w:p/>
    <w:p>
      <w:r>
        <w:t>These omissions are protocol protections, not missing model functionality. The future corrected dataset can be plugged into the episode_id interface without redesigning the probabilistic world model.</w:t>
      </w:r>
    </w:p>
    <w:p>
      <w:pPr>
        <w:pStyle w:val="Heading1"/>
      </w:pPr>
      <w:r>
        <w:t>11. Verification</w:t>
      </w:r>
    </w:p>
    <w:p>
      <w:r>
        <w:t>Full test-suite result: 96 passed, 0 failed. The tests cover Gaussian output shape and positivity, Gaussian NLL gradients, interval behavior, next-state alignment, recursive rollout, feature leakage, feature masking, deletion behavior, and LOEO protection against source_day misuse.</w:t>
      </w:r>
    </w:p>
    <w:p>
      <w:pPr>
        <w:pStyle w:val="Heading1"/>
      </w:pPr>
      <w:r>
        <w:t>12. Final Status</w:t>
      </w:r>
    </w:p>
    <w:p>
      <w:r>
        <w:t>The current-data probabilistic UCS transition-model milestone is complete and reproducible. The model learns and rolls out UCS transition dynamics under a chronological split, with uncertainty, attribution, deletion, deviation diagnostics, and saved artifacts. Episode-dependent detection claims remain intentionally open until corrected episode_id metadata is supplied.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