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pPr>
      <w:r>
        <w:rPr>
          <w:rFonts w:ascii="Calibri" w:cs="Calibri" w:eastAsia="Calibri" w:hAnsi="Calibri"/>
          <w:color w:val="1A1A1A"/>
          <w:sz w:val="21"/>
          <w:szCs w:val="21"/>
        </w:rPr>
        <w:t xml:space="preserve"/>
      </w:r>
    </w:p>
    <w:p>
      <w:pPr>
        <w:spacing w:after="0" w:before="0" w:line="276"/>
      </w:pPr>
      <w:r>
        <w:rPr>
          <w:rFonts w:ascii="Calibri" w:cs="Calibri" w:eastAsia="Calibri" w:hAnsi="Calibri"/>
          <w:color w:val="1A1A1A"/>
          <w:sz w:val="21"/>
          <w:szCs w:val="21"/>
        </w:rPr>
        <w:t xml:space="preserve"/>
      </w:r>
    </w:p>
    <w:p>
      <w:pPr>
        <w:spacing w:after="0" w:before="0" w:line="276"/>
      </w:pPr>
      <w:r>
        <w:rPr>
          <w:rFonts w:ascii="Calibri" w:cs="Calibri" w:eastAsia="Calibri" w:hAnsi="Calibri"/>
          <w:color w:val="1A1A1A"/>
          <w:sz w:val="21"/>
          <w:szCs w:val="21"/>
        </w:rPr>
        <w:t xml:space="preserve"/>
      </w:r>
    </w:p>
    <w:p>
      <w:pPr>
        <w:spacing w:after="0" w:before="0" w:line="276"/>
      </w:pPr>
      <w:r>
        <w:rPr>
          <w:rFonts w:ascii="Calibri" w:cs="Calibri" w:eastAsia="Calibri" w:hAnsi="Calibri"/>
          <w:color w:val="1A1A1A"/>
          <w:sz w:val="21"/>
          <w:szCs w:val="21"/>
        </w:rPr>
        <w:t xml:space="preserve"/>
      </w:r>
    </w:p>
    <w:p>
      <w:pPr>
        <w:spacing w:after="0" w:before="0" w:line="276"/>
      </w:pPr>
      <w:r>
        <w:rPr>
          <w:rFonts w:ascii="Calibri" w:cs="Calibri" w:eastAsia="Calibri" w:hAnsi="Calibri"/>
          <w:color w:val="1A1A1A"/>
          <w:sz w:val="21"/>
          <w:szCs w:val="21"/>
        </w:rPr>
        <w:t xml:space="preserve"/>
      </w:r>
    </w:p>
    <w:p>
      <w:pPr>
        <w:spacing w:after="0" w:before="0" w:line="276"/>
      </w:pPr>
      <w:r>
        <w:rPr>
          <w:rFonts w:ascii="Calibri" w:cs="Calibri" w:eastAsia="Calibri" w:hAnsi="Calibri"/>
          <w:color w:val="1A1A1A"/>
          <w:sz w:val="21"/>
          <w:szCs w:val="21"/>
        </w:rPr>
        <w:t xml:space="preserve"/>
      </w:r>
    </w:p>
    <w:p>
      <w:pPr>
        <w:spacing w:after="60"/>
        <w:jc w:val="center"/>
      </w:pPr>
      <w:r>
        <w:rPr>
          <w:rFonts w:ascii="Calibri" w:cs="Calibri" w:eastAsia="Calibri" w:hAnsi="Calibri"/>
          <w:b/>
          <w:bCs/>
          <w:color w:val="0B3C5D"/>
          <w:sz w:val="60"/>
          <w:szCs w:val="60"/>
        </w:rPr>
        <w:t xml:space="preserve">DEMANDSHOCK</w:t>
      </w:r>
    </w:p>
    <w:p>
      <w:pPr>
        <w:pBdr>
          <w:bottom w:val="single" w:color="0F766E" w:sz="8" w:space="8"/>
        </w:pBdr>
        <w:spacing w:after="300"/>
        <w:jc w:val="center"/>
      </w:pPr>
      <w:r>
        <w:rPr>
          <w:rFonts w:ascii="Calibri" w:cs="Calibri" w:eastAsia="Calibri" w:hAnsi="Calibri"/>
          <w:color w:val="0F766E"/>
          <w:sz w:val="26"/>
          <w:szCs w:val="26"/>
        </w:rPr>
        <w:t xml:space="preserve">Crisis-Aware Demand Forecasting &amp; Inventory Intelligence Platform</w:t>
      </w:r>
    </w:p>
    <w:p>
      <w:pPr>
        <w:spacing w:after="60" w:before="0" w:line="276"/>
        <w:jc w:val="center"/>
      </w:pPr>
      <w:r>
        <w:rPr>
          <w:rFonts w:ascii="Calibri" w:cs="Calibri" w:eastAsia="Calibri" w:hAnsi="Calibri"/>
          <w:b/>
          <w:bCs/>
          <w:color w:val="1A1A1A"/>
          <w:sz w:val="24"/>
          <w:szCs w:val="24"/>
        </w:rPr>
        <w:t xml:space="preserve">Technical Project Report</w:t>
      </w:r>
    </w:p>
    <w:p>
      <w:pPr>
        <w:spacing w:after="400" w:before="0" w:line="276"/>
        <w:jc w:val="center"/>
      </w:pPr>
      <w:r>
        <w:rPr>
          <w:rFonts w:ascii="Calibri" w:cs="Calibri" w:eastAsia="Calibri" w:hAnsi="Calibri"/>
          <w:i/>
          <w:iCs/>
          <w:color w:val="5A6672"/>
          <w:sz w:val="20"/>
          <w:szCs w:val="20"/>
        </w:rPr>
        <w:t xml:space="preserve">Design, implementation, measured results and independent verification</w:t>
      </w:r>
    </w:p>
    <w:tbl>
      <w:tblPr>
        <w:tblW w:type="dxa" w:w="9360"/>
        <w:tblBorders>
          <w:top w:val="single" w:color="C9D2DB" w:sz="2"/>
          <w:left w:val="none"/>
          <w:bottom w:val="single" w:color="C9D2DB" w:sz="2"/>
          <w:right w:val="none"/>
          <w:insideH w:val="single" w:color="DCE3EA" w:sz="1"/>
          <w:insideV w:val="none"/>
        </w:tblBorders>
      </w:tblPr>
      <w:tblGrid>
        <w:gridCol w:w="3100"/>
        <w:gridCol w:w="6260"/>
      </w:tblGrid>
      <w:tr>
        <w:trPr>
          <w:tblHeader/>
        </w:trPr>
        <w:tc>
          <w:tcPr>
            <w:tcW w:type="dxa" w:w="31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Attribute</w:t>
            </w:r>
          </w:p>
        </w:tc>
        <w:tc>
          <w:tcPr>
            <w:tcW w:type="dxa" w:w="62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Value</w:t>
            </w:r>
          </w:p>
        </w:tc>
      </w:tr>
      <w:tr>
        <w:tc>
          <w:tcPr>
            <w:tcW w:type="dxa" w:w="3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Platform version</w:t>
            </w:r>
          </w:p>
        </w:tc>
        <w:tc>
          <w:tcPr>
            <w:tcW w:type="dxa" w:w="62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1.0.0</w:t>
            </w:r>
          </w:p>
        </w:tc>
      </w:tr>
      <w:tr>
        <w:tc>
          <w:tcPr>
            <w:tcW w:type="dxa" w:w="3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Run mode</w:t>
            </w:r>
          </w:p>
        </w:tc>
        <w:tc>
          <w:tcPr>
            <w:tcW w:type="dxa" w:w="62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Full dataset (all 30,490 item-store series)</w:t>
            </w:r>
          </w:p>
        </w:tc>
      </w:tr>
      <w:tr>
        <w:tc>
          <w:tcPr>
            <w:tcW w:type="dxa" w:w="3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Primary model</w:t>
            </w:r>
          </w:p>
        </w:tc>
        <w:tc>
          <w:tcPr>
            <w:tcW w:type="dxa" w:w="62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Global direct LightGBM (Tweedie objective)</w:t>
            </w:r>
          </w:p>
        </w:tc>
      </w:tr>
      <w:tr>
        <w:tc>
          <w:tcPr>
            <w:tcW w:type="dxa" w:w="3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Selected feature set</w:t>
            </w:r>
          </w:p>
        </w:tc>
        <w:tc>
          <w:tcPr>
            <w:tcW w:type="dxa" w:w="62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B (+ Calendar &amp; Price)</w:t>
            </w:r>
          </w:p>
        </w:tc>
      </w:tr>
      <w:tr>
        <w:tc>
          <w:tcPr>
            <w:tcW w:type="dxa" w:w="3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Data coverage</w:t>
            </w:r>
          </w:p>
        </w:tc>
        <w:tc>
          <w:tcPr>
            <w:tcW w:type="dxa" w:w="62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2011-01-29 to 2016-06-19</w:t>
            </w:r>
          </w:p>
        </w:tc>
      </w:tr>
      <w:tr>
        <w:tc>
          <w:tcPr>
            <w:tcW w:type="dxa" w:w="3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Model trained</w:t>
            </w:r>
          </w:p>
        </w:tc>
        <w:tc>
          <w:tcPr>
            <w:tcW w:type="dxa" w:w="62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2026-08-03T18:04:03+00:00</w:t>
            </w:r>
          </w:p>
        </w:tc>
      </w:tr>
      <w:tr>
        <w:tc>
          <w:tcPr>
            <w:tcW w:type="dxa" w:w="3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Configuration hash</w:t>
            </w:r>
          </w:p>
        </w:tc>
        <w:tc>
          <w:tcPr>
            <w:tcW w:type="dxa" w:w="62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fcbd0adf252c</w:t>
            </w:r>
          </w:p>
        </w:tc>
      </w:tr>
      <w:tr>
        <w:tc>
          <w:tcPr>
            <w:tcW w:type="dxa" w:w="3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Automated tests</w:t>
            </w:r>
          </w:p>
        </w:tc>
        <w:tc>
          <w:tcPr>
            <w:tcW w:type="dxa" w:w="62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119 passing, 0 skipped</w:t>
            </w:r>
          </w:p>
        </w:tc>
      </w:tr>
      <w:tr>
        <w:tc>
          <w:tcPr>
            <w:tcW w:type="dxa" w:w="3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Verification status</w:t>
            </w:r>
          </w:p>
        </w:tc>
        <w:tc>
          <w:tcPr>
            <w:tcW w:type="dxa" w:w="62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Independently audited (read-only)</w:t>
            </w:r>
          </w:p>
        </w:tc>
      </w:tr>
    </w:tbl>
    <w:p>
      <w:pPr>
        <w:spacing w:after="0" w:before="0" w:line="276"/>
      </w:pPr>
      <w:r>
        <w:rPr>
          <w:rFonts w:ascii="Calibri" w:cs="Calibri" w:eastAsia="Calibri" w:hAnsi="Calibri"/>
          <w:color w:val="1A1A1A"/>
          <w:sz w:val="21"/>
          <w:szCs w:val="21"/>
        </w:rPr>
        <w:t xml:space="preserve"/>
      </w:r>
    </w:p>
    <w:p>
      <w:pPr>
        <w:spacing w:after="0" w:before="0" w:line="276"/>
      </w:pPr>
      <w:r>
        <w:rPr>
          <w:rFonts w:ascii="Calibri" w:cs="Calibri" w:eastAsia="Calibri" w:hAnsi="Calibri"/>
          <w:color w:val="1A1A1A"/>
          <w:sz w:val="21"/>
          <w:szCs w:val="21"/>
        </w:rPr>
        <w:t xml:space="preserve"/>
      </w:r>
    </w:p>
    <w:p>
      <w:pPr>
        <w:spacing w:after="120" w:before="0" w:line="276"/>
        <w:jc w:val="center"/>
      </w:pPr>
      <w:r>
        <w:rPr>
          <w:rFonts w:ascii="Calibri" w:cs="Calibri" w:eastAsia="Calibri" w:hAnsi="Calibri"/>
          <w:i/>
          <w:iCs/>
          <w:color w:val="5A6672"/>
          <w:sz w:val="21"/>
          <w:szCs w:val="21"/>
        </w:rPr>
        <w:t xml:space="preserve">Every figure in this report is read directly from the pipeline artifacts produced by the full-scale run. No number has been typed by hand, estimated, or illustrated.</w:t>
      </w:r>
    </w:p>
    <w:p>
      <w:r>
        <w:br w:type="page"/>
      </w:r>
    </w:p>
    <w:p>
      <w:pPr>
        <w:sectPr>
          <w:pgSz w:w="12240" w:h="15840" w:orient="portrait"/>
          <w:pgMar w:top="1440" w:right="1440" w:bottom="1440" w:left="1440" w:header="708" w:footer="708" w:gutter="0"/>
          <w:pgNumType/>
          <w:docGrid w:linePitch="360"/>
        </w:sectPr>
      </w:pPr>
    </w:p>
    <w:p>
      <w:pPr>
        <w:pStyle w:val="Heading1"/>
        <w:spacing w:after="160" w:before="360"/>
      </w:pPr>
      <w:r>
        <w:rPr>
          <w:rFonts w:ascii="Calibri" w:cs="Calibri" w:eastAsia="Calibri" w:hAnsi="Calibri"/>
          <w:b/>
          <w:bCs/>
          <w:color w:val="0B3C5D"/>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i/>
          <w:iCs/>
          <w:color w:val="5A6672"/>
          <w:sz w:val="18"/>
          <w:szCs w:val="18"/>
        </w:rPr>
        <w:t xml:space="preserve">If the entries below appear blank, open the document in Word and press F9 to refresh the field.</w:t>
      </w:r>
    </w:p>
    <w:p>
      <w:r>
        <w:br w:type="page"/>
      </w:r>
    </w:p>
    <w:p>
      <w:pPr>
        <w:pStyle w:val="Heading1"/>
        <w:spacing w:after="160" w:before="360"/>
      </w:pPr>
      <w:r>
        <w:rPr>
          <w:rFonts w:ascii="Calibri" w:cs="Calibri" w:eastAsia="Calibri" w:hAnsi="Calibri"/>
          <w:b/>
          <w:bCs/>
          <w:color w:val="0B3C5D"/>
          <w:sz w:val="30"/>
          <w:szCs w:val="30"/>
        </w:rPr>
        <w:t xml:space="preserve">1. Executive Summary</w:t>
      </w:r>
    </w:p>
    <w:p>
      <w:pPr>
        <w:spacing w:after="120" w:before="0" w:line="276"/>
      </w:pPr>
      <w:r>
        <w:rPr>
          <w:rFonts w:ascii="Calibri" w:cs="Calibri" w:eastAsia="Calibri" w:hAnsi="Calibri"/>
          <w:color w:val="1A1A1A"/>
          <w:sz w:val="21"/>
          <w:szCs w:val="21"/>
        </w:rPr>
        <w:t xml:space="preserve">DemandShock is a decision-support platform for retail demand planning. It forecasts daily demand for every product in every store, detects where actual demand has broken away from what the model expected, attaches the real-world conditions that coincided with those breaks, and translates the forecasts into transparent inventory planning arithmetic.</w:t>
      </w:r>
    </w:p>
    <w:p>
      <w:pPr>
        <w:spacing w:after="120" w:before="0" w:line="276"/>
      </w:pPr>
      <w:r>
        <w:rPr>
          <w:rFonts w:ascii="Calibri" w:cs="Calibri" w:eastAsia="Calibri" w:hAnsi="Calibri"/>
          <w:color w:val="1A1A1A"/>
          <w:sz w:val="21"/>
          <w:szCs w:val="21"/>
        </w:rPr>
        <w:t xml:space="preserve">The distinguishing idea is that the forecast residual is treated as a signal in its own right, not merely as an error term. Conventional forecasting tools report an average accuracy figure. They do not tell a planner which specific series broke, how badly, what else was happening at the time, or what it is worth in dollars. DemandShock answers those questions.</w:t>
      </w:r>
    </w:p>
    <w:p>
      <w:pPr>
        <w:pStyle w:val="Heading2"/>
        <w:spacing w:after="120" w:before="260"/>
      </w:pPr>
      <w:r>
        <w:rPr>
          <w:rFonts w:ascii="Calibri" w:cs="Calibri" w:eastAsia="Calibri" w:hAnsi="Calibri"/>
          <w:b/>
          <w:bCs/>
          <w:color w:val="0F766E"/>
          <w:sz w:val="24"/>
          <w:szCs w:val="24"/>
        </w:rPr>
        <w:t xml:space="preserve">1.1 Headline measured results</w:t>
      </w:r>
    </w:p>
    <w:tbl>
      <w:tblPr>
        <w:tblW w:type="dxa" w:w="9360"/>
        <w:tblBorders>
          <w:top w:val="single" w:color="C9D2DB" w:sz="2"/>
          <w:left w:val="none"/>
          <w:bottom w:val="single" w:color="C9D2DB" w:sz="2"/>
          <w:right w:val="none"/>
          <w:insideH w:val="single" w:color="DCE3EA" w:sz="1"/>
          <w:insideV w:val="none"/>
        </w:tblBorders>
      </w:tblPr>
      <w:tblGrid>
        <w:gridCol w:w="3500"/>
        <w:gridCol w:w="2500"/>
        <w:gridCol w:w="3360"/>
      </w:tblGrid>
      <w:tr>
        <w:trPr>
          <w:tblHeader/>
        </w:trPr>
        <w:tc>
          <w:tcPr>
            <w:tcW w:type="dxa" w:w="35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Result</w:t>
            </w:r>
          </w:p>
        </w:tc>
        <w:tc>
          <w:tcPr>
            <w:tcW w:type="dxa" w:w="25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Value</w:t>
            </w:r>
          </w:p>
        </w:tc>
        <w:tc>
          <w:tcPr>
            <w:tcW w:type="dxa" w:w="33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Basis</w:t>
            </w:r>
          </w:p>
        </w:tc>
      </w:tr>
      <w:tr>
        <w:tc>
          <w:tcPr>
            <w:tcW w:type="dxa" w:w="3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Series modelled</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30,490</w:t>
            </w:r>
          </w:p>
        </w:tc>
        <w:tc>
          <w:tcPr>
            <w:tcW w:type="dxa" w:w="3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M5 item x store</w:t>
            </w:r>
          </w:p>
        </w:tc>
      </w:tr>
      <w:tr>
        <w:tc>
          <w:tcPr>
            <w:tcW w:type="dxa" w:w="3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Item-days processed</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46,881,677</w:t>
            </w:r>
          </w:p>
        </w:tc>
        <w:tc>
          <w:tcPr>
            <w:tcW w:type="dxa" w:w="3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after release filtering</w:t>
            </w:r>
          </w:p>
        </w:tc>
      </w:tr>
      <w:tr>
        <w:tc>
          <w:tcPr>
            <w:tcW w:type="dxa" w:w="3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Forecast accuracy (WAPE)</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0.7305</w:t>
            </w:r>
          </w:p>
        </w:tc>
        <w:tc>
          <w:tcPr>
            <w:tcW w:type="dxa" w:w="3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28-day held-out window</w:t>
            </w:r>
          </w:p>
        </w:tc>
      </w:tr>
      <w:tr>
        <w:tc>
          <w:tcPr>
            <w:tcW w:type="dxa" w:w="3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Scaled error (RMSSE)</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0.7606</w:t>
            </w:r>
          </w:p>
        </w:tc>
        <w:tc>
          <w:tcPr>
            <w:tcW w:type="dxa" w:w="3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below 1.0 beats naive</w:t>
            </w:r>
          </w:p>
        </w:tc>
      </w:tr>
      <w:tr>
        <w:tc>
          <w:tcPr>
            <w:tcW w:type="dxa" w:w="3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Improvement vs seasonal naive</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17.9%</w:t>
            </w:r>
          </w:p>
        </w:tc>
        <w:tc>
          <w:tcPr>
            <w:tcW w:type="dxa" w:w="3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same information set</w:t>
            </w:r>
          </w:p>
        </w:tc>
      </w:tr>
      <w:tr>
        <w:tc>
          <w:tcPr>
            <w:tcW w:type="dxa" w:w="3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Prediction interval coverage</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79.6%</w:t>
            </w:r>
          </w:p>
        </w:tc>
        <w:tc>
          <w:tcPr>
            <w:tcW w:type="dxa" w:w="3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target 80%, n=853,624</w:t>
            </w:r>
          </w:p>
        </w:tc>
      </w:tr>
      <w:tr>
        <w:tc>
          <w:tcPr>
            <w:tcW w:type="dxa" w:w="3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Demand shock episodes detected</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53,774</w:t>
            </w:r>
          </w:p>
        </w:tc>
        <w:tc>
          <w:tcPr>
            <w:tcW w:type="dxa" w:w="3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out-of-sample window</w:t>
            </w:r>
          </w:p>
        </w:tc>
      </w:tr>
      <w:tr>
        <w:tc>
          <w:tcPr>
            <w:tcW w:type="dxa" w:w="3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Estimated revenue exposure</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$3,083,876</w:t>
            </w:r>
          </w:p>
        </w:tc>
        <w:tc>
          <w:tcPr>
            <w:tcW w:type="dxa" w:w="3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real prices, 28 days</w:t>
            </w:r>
          </w:p>
        </w:tc>
      </w:tr>
      <w:tr>
        <w:tc>
          <w:tcPr>
            <w:tcW w:type="dxa" w:w="3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Data quality checks</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 / 59 passed</w:t>
            </w:r>
          </w:p>
        </w:tc>
        <w:tc>
          <w:tcPr>
            <w:tcW w:type="dxa" w:w="3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 warnings, 0 failures</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1.2 The most important finding</w:t>
      </w:r>
    </w:p>
    <w:p>
      <w:pPr>
        <w:spacing w:after="120" w:before="0" w:line="276"/>
      </w:pPr>
      <w:r>
        <w:rPr>
          <w:rFonts w:ascii="Calibri" w:cs="Calibri" w:eastAsia="Calibri" w:hAnsi="Calibri"/>
          <w:color w:val="1A1A1A"/>
          <w:sz w:val="21"/>
          <w:szCs w:val="21"/>
        </w:rPr>
        <w:t xml:space="preserve">The project set out to test whether external crisis and economic context improves demand forecasting. Measured honestly across identical rolling-origin folds, the answer is no.</w:t>
      </w:r>
    </w:p>
    <w:p>
      <w:pPr>
        <w:spacing w:after="120" w:before="0" w:line="276"/>
      </w:pPr>
      <w:r>
        <w:rPr>
          <w:rFonts w:ascii="Calibri" w:cs="Calibri" w:eastAsia="Calibri" w:hAnsi="Calibri"/>
          <w:color w:val="1A1A1A"/>
          <w:sz w:val="21"/>
          <w:szCs w:val="21"/>
        </w:rPr>
        <w:t xml:space="preserve">Adding FEMA disaster context changed WAPE by </w:t>
      </w:r>
      <w:r>
        <w:rPr>
          <w:rFonts w:ascii="Calibri" w:cs="Calibri" w:eastAsia="Calibri" w:hAnsi="Calibri"/>
          <w:b/>
          <w:bCs/>
          <w:color w:val="1A1A1A"/>
          <w:sz w:val="21"/>
          <w:szCs w:val="21"/>
        </w:rPr>
        <w:t xml:space="preserve">0.0003 (0.04% relative)</w:t>
      </w:r>
      <w:r>
        <w:rPr>
          <w:rFonts w:ascii="Calibri" w:cs="Calibri" w:eastAsia="Calibri" w:hAnsi="Calibri"/>
          <w:color w:val="1A1A1A"/>
          <w:sz w:val="21"/>
          <w:szCs w:val="21"/>
        </w:rPr>
        <w:t xml:space="preserve">, which is smaller than the fold-to-fold variation of </w:t>
      </w:r>
      <w:r>
        <w:rPr>
          <w:rFonts w:ascii="Calibri" w:cs="Calibri" w:eastAsia="Calibri" w:hAnsi="Calibri"/>
          <w:b/>
          <w:bCs/>
          <w:color w:val="1A1A1A"/>
          <w:sz w:val="21"/>
          <w:szCs w:val="21"/>
        </w:rPr>
        <w:t xml:space="preserve">0.0087</w:t>
      </w:r>
      <w:r>
        <w:rPr>
          <w:rFonts w:ascii="Calibri" w:cs="Calibri" w:eastAsia="Calibri" w:hAnsi="Calibri"/>
          <w:color w:val="1A1A1A"/>
          <w:sz w:val="21"/>
          <w:szCs w:val="21"/>
        </w:rPr>
        <w:t xml:space="preserve">. Adding FRED economic context made accuracy slightly worse. The selection rule therefore chose the simpler feature set, and both external sources were retained for explaining shocks rather than for point-forecast accuracy.</w:t>
      </w:r>
    </w:p>
    <w:p>
      <w:pPr>
        <w:spacing w:after="120" w:before="0" w:line="276"/>
      </w:pPr>
      <w:r>
        <w:rPr>
          <w:rFonts w:ascii="Calibri" w:cs="Calibri" w:eastAsia="Calibri" w:hAnsi="Calibri"/>
          <w:color w:val="1A1A1A"/>
          <w:sz w:val="21"/>
          <w:szCs w:val="21"/>
        </w:rPr>
        <w:t xml:space="preserve">This is reported prominently inside the application itself, auto-generated from the numbers rather than written by hand. A platform that quietly buried this result would be less trustworthy, not more.</w:t>
      </w:r>
    </w:p>
    <w:p>
      <w:pPr>
        <w:shd w:fill="F7F9FB" w:color="auto" w:val="clear"/>
        <w:spacing w:after="0" w:before="100" w:line="276"/>
      </w:pPr>
      <w:r>
        <w:rPr>
          <w:rFonts w:ascii="Calibri" w:cs="Calibri" w:eastAsia="Calibri" w:hAnsi="Calibri"/>
          <w:b/>
          <w:bCs/>
          <w:color w:val="0B3C5D"/>
          <w:sz w:val="21"/>
          <w:szCs w:val="21"/>
        </w:rPr>
        <w:t xml:space="preserve">What this platform is, and is not</w:t>
      </w:r>
    </w:p>
    <w:p>
      <w:pPr>
        <w:shd w:fill="F7F9FB" w:color="auto" w:val="clear"/>
        <w:spacing w:after="160" w:before="0" w:line="276"/>
      </w:pPr>
      <w:r>
        <w:rPr>
          <w:rFonts w:ascii="Calibri" w:cs="Calibri" w:eastAsia="Calibri" w:hAnsi="Calibri"/>
          <w:color w:val="1A1A1A"/>
          <w:sz w:val="21"/>
          <w:szCs w:val="21"/>
        </w:rPr>
        <w:t xml:space="preserve">It is decision support: forecasts, deviation detection, context and planning arithmetic for a human planner. It is not an autonomous replenishment system, it does not claim causation between disasters and demand, and it never presents an assumption as an observation.</w:t>
      </w:r>
    </w:p>
    <w:p>
      <w:r>
        <w:br w:type="page"/>
      </w:r>
    </w:p>
    <w:p>
      <w:pPr>
        <w:pStyle w:val="Heading1"/>
        <w:spacing w:after="160" w:before="360"/>
      </w:pPr>
      <w:r>
        <w:rPr>
          <w:rFonts w:ascii="Calibri" w:cs="Calibri" w:eastAsia="Calibri" w:hAnsi="Calibri"/>
          <w:b/>
          <w:bCs/>
          <w:color w:val="0B3C5D"/>
          <w:sz w:val="30"/>
          <w:szCs w:val="30"/>
        </w:rPr>
        <w:t xml:space="preserve">2. Business Problem and Proposed Solution</w:t>
      </w:r>
    </w:p>
    <w:p>
      <w:pPr>
        <w:pStyle w:val="Heading2"/>
        <w:spacing w:after="120" w:before="260"/>
      </w:pPr>
      <w:r>
        <w:rPr>
          <w:rFonts w:ascii="Calibri" w:cs="Calibri" w:eastAsia="Calibri" w:hAnsi="Calibri"/>
          <w:b/>
          <w:bCs/>
          <w:color w:val="0F766E"/>
          <w:sz w:val="24"/>
          <w:szCs w:val="24"/>
        </w:rPr>
        <w:t xml:space="preserve">2.1 The problem</w:t>
      </w:r>
    </w:p>
    <w:p>
      <w:pPr>
        <w:spacing w:after="120" w:before="0" w:line="276"/>
      </w:pPr>
      <w:r>
        <w:rPr>
          <w:rFonts w:ascii="Calibri" w:cs="Calibri" w:eastAsia="Calibri" w:hAnsi="Calibri"/>
          <w:color w:val="1A1A1A"/>
          <w:sz w:val="21"/>
          <w:szCs w:val="21"/>
        </w:rPr>
        <w:t xml:space="preserve">Retail planners forecast adequately in ordinary conditions. The expensive failures happen when demand stops behaving normally: a product's demand regime shifts, a category surges, a store's pattern breaks. These events are often not noticed for weeks, because a portfolio-level accuracy metric absorbs them.</w:t>
      </w:r>
    </w:p>
    <w:p>
      <w:pPr>
        <w:spacing w:after="120" w:before="0" w:line="276"/>
      </w:pPr>
      <w:r>
        <w:rPr>
          <w:rFonts w:ascii="Calibri" w:cs="Calibri" w:eastAsia="Calibri" w:hAnsi="Calibri"/>
          <w:color w:val="1A1A1A"/>
          <w:sz w:val="21"/>
          <w:szCs w:val="21"/>
        </w:rPr>
        <w:t xml:space="preserve">Two costs follow. Under-forecasting risks lost sales and empty shelves. Over-forecasting ties up working capital in stock that does not move. Both are invisible in an aggregate error figure, and both are concentrated in a small number of series.</w:t>
      </w:r>
    </w:p>
    <w:p>
      <w:pPr>
        <w:pStyle w:val="Heading2"/>
        <w:spacing w:after="120" w:before="260"/>
      </w:pPr>
      <w:r>
        <w:rPr>
          <w:rFonts w:ascii="Calibri" w:cs="Calibri" w:eastAsia="Calibri" w:hAnsi="Calibri"/>
          <w:b/>
          <w:bCs/>
          <w:color w:val="0F766E"/>
          <w:sz w:val="24"/>
          <w:szCs w:val="24"/>
        </w:rPr>
        <w:t xml:space="preserve">2.2 The proposition</w:t>
      </w:r>
    </w:p>
    <w:p>
      <w:pPr>
        <w:spacing w:after="120" w:before="0" w:line="276"/>
      </w:pPr>
      <w:r>
        <w:rPr>
          <w:rFonts w:ascii="Calibri" w:cs="Calibri" w:eastAsia="Calibri" w:hAnsi="Calibri"/>
          <w:b/>
          <w:bCs/>
          <w:color w:val="0B3C5D"/>
          <w:sz w:val="23"/>
          <w:szCs w:val="23"/>
        </w:rPr>
        <w:t xml:space="preserve">Retail intelligence for when historical demand patterns stop behaving normally.</w:t>
      </w:r>
    </w:p>
    <w:p>
      <w:pPr>
        <w:spacing w:after="120" w:before="0" w:line="276"/>
      </w:pPr>
      <w:r>
        <w:rPr>
          <w:rFonts w:ascii="Calibri" w:cs="Calibri" w:eastAsia="Calibri" w:hAnsi="Calibri"/>
          <w:color w:val="1A1A1A"/>
          <w:sz w:val="21"/>
          <w:szCs w:val="21"/>
        </w:rPr>
        <w:t xml:space="preserve">Traditional forecasting asks what demand is likely to be. DemandShock also asks where actual behaviour is deviating from expectation, what real external conditions coincided with that change, how important the deviation is, and what action a planner should consider.</w:t>
      </w:r>
    </w:p>
    <w:p>
      <w:pPr>
        <w:pStyle w:val="Heading2"/>
        <w:spacing w:after="120" w:before="260"/>
      </w:pPr>
      <w:r>
        <w:rPr>
          <w:rFonts w:ascii="Calibri" w:cs="Calibri" w:eastAsia="Calibri" w:hAnsi="Calibri"/>
          <w:b/>
          <w:bCs/>
          <w:color w:val="0F766E"/>
          <w:sz w:val="24"/>
          <w:szCs w:val="24"/>
        </w:rPr>
        <w:t xml:space="preserve">2.3 Questions the platform answers</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Question</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Where it is answered</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What is likely to happen to demand?</w:t>
            </w:r>
          </w:p>
        </w:tc>
        <w:tc>
          <w:tcPr>
            <w:tcW w:type="dxa" w:w="476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 2 - forecasts with P10-P90 intervals</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Where is demand behaving abnormally?</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 3 - demand shock scoring</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Did deviations coincide with real disruptions?</w:t>
            </w:r>
          </w:p>
        </w:tc>
        <w:tc>
          <w:tcPr>
            <w:tcW w:type="dxa" w:w="476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 3 - FEMA and FRED context</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Which products and stores need attention?</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Modules 1 and 3</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What inventory does the forecast imply?</w:t>
            </w:r>
          </w:p>
        </w:tc>
        <w:tc>
          <w:tcPr>
            <w:tcW w:type="dxa" w:w="476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 4 - planning arithmetic</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How reliable is the model?</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 5 - backtests, ablation, intervals</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What drives the forecasts?</w:t>
            </w:r>
          </w:p>
        </w:tc>
        <w:tc>
          <w:tcPr>
            <w:tcW w:type="dxa" w:w="476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 5 - exact TreeSHAP attribution</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What financial exposure does error create?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Modules 1 and 4</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2.4 Concentration of value</w:t>
      </w:r>
    </w:p>
    <w:p>
      <w:pPr>
        <w:spacing w:after="120" w:before="0" w:line="276"/>
      </w:pPr>
      <w:r>
        <w:rPr>
          <w:rFonts w:ascii="Calibri" w:cs="Calibri" w:eastAsia="Calibri" w:hAnsi="Calibri"/>
          <w:color w:val="1A1A1A"/>
          <w:sz w:val="21"/>
          <w:szCs w:val="21"/>
        </w:rPr>
        <w:t xml:space="preserve">The exposure analysis shows the practical payoff of prioritisation. Across 30,490 series in the held-out window, forecast error carried an estimated $3,083,876 of revenue exposure, of which $1,702,722 came from under-forecasting and $1,381,154 from over-forecasting. Because that exposure is heavily concentrated, a planner who reviews a small ranked list addresses a disproportionate share of the risk.</w:t>
      </w:r>
    </w:p>
    <w:p>
      <w:r>
        <w:br w:type="page"/>
      </w:r>
    </w:p>
    <w:p>
      <w:pPr>
        <w:pStyle w:val="Heading1"/>
        <w:spacing w:after="160" w:before="360"/>
      </w:pPr>
      <w:r>
        <w:rPr>
          <w:rFonts w:ascii="Calibri" w:cs="Calibri" w:eastAsia="Calibri" w:hAnsi="Calibri"/>
          <w:b/>
          <w:bCs/>
          <w:color w:val="0B3C5D"/>
          <w:sz w:val="30"/>
          <w:szCs w:val="30"/>
        </w:rPr>
        <w:t xml:space="preserve">3. Data Sources and Integrity</w:t>
      </w:r>
    </w:p>
    <w:p>
      <w:pPr>
        <w:spacing w:after="120" w:before="0" w:line="276"/>
      </w:pPr>
      <w:r>
        <w:rPr>
          <w:rFonts w:ascii="Calibri" w:cs="Calibri" w:eastAsia="Calibri" w:hAnsi="Calibri"/>
          <w:color w:val="1A1A1A"/>
          <w:sz w:val="21"/>
          <w:szCs w:val="21"/>
        </w:rPr>
        <w:t xml:space="preserve">The platform uses only real, publicly documented datasets. No synthetic records, simulated crises, fabricated inventory positions or placeholder metrics exist anywhere in the pipeline, the application, or this report.</w:t>
      </w:r>
    </w:p>
    <w:p>
      <w:pPr>
        <w:pStyle w:val="Heading2"/>
        <w:spacing w:after="120" w:before="260"/>
      </w:pPr>
      <w:r>
        <w:rPr>
          <w:rFonts w:ascii="Calibri" w:cs="Calibri" w:eastAsia="Calibri" w:hAnsi="Calibri"/>
          <w:b/>
          <w:bCs/>
          <w:color w:val="0F766E"/>
          <w:sz w:val="24"/>
          <w:szCs w:val="24"/>
        </w:rPr>
        <w:t xml:space="preserve">3.1 Sources</w:t>
      </w:r>
    </w:p>
    <w:tbl>
      <w:tblPr>
        <w:tblW w:type="dxa" w:w="9360"/>
        <w:tblBorders>
          <w:top w:val="single" w:color="C9D2DB" w:sz="2"/>
          <w:left w:val="none"/>
          <w:bottom w:val="single" w:color="C9D2DB" w:sz="2"/>
          <w:right w:val="none"/>
          <w:insideH w:val="single" w:color="DCE3EA" w:sz="1"/>
          <w:insideV w:val="none"/>
        </w:tblBorders>
      </w:tblPr>
      <w:tblGrid>
        <w:gridCol w:w="2500"/>
        <w:gridCol w:w="4660"/>
        <w:gridCol w:w="2200"/>
      </w:tblGrid>
      <w:tr>
        <w:trPr>
          <w:tblHeader/>
        </w:trPr>
        <w:tc>
          <w:tcPr>
            <w:tcW w:type="dxa" w:w="25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Source</w:t>
            </w:r>
          </w:p>
        </w:tc>
        <w:tc>
          <w:tcPr>
            <w:tcW w:type="dxa" w:w="46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Contribution</w:t>
            </w:r>
          </w:p>
        </w:tc>
        <w:tc>
          <w:tcPr>
            <w:tcW w:type="dxa" w:w="22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Grain</w:t>
            </w:r>
          </w:p>
        </w:tc>
      </w:tr>
      <w:tr>
        <w:tc>
          <w:tcPr>
            <w:tcW w:type="dxa" w:w="250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M5 Forecasting - Accuracy</w:t>
            </w:r>
          </w:p>
        </w:tc>
        <w:tc>
          <w:tcPr>
            <w:tcW w:type="dxa" w:w="466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Daily unit sales, weekly sell prices, retail calendar with events and SNAP flags</w:t>
            </w:r>
          </w:p>
        </w:tc>
        <w:tc>
          <w:tcPr>
            <w:tcW w:type="dxa" w:w="220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Item x store x day</w:t>
            </w:r>
          </w:p>
        </w:tc>
      </w:tr>
      <w:tr>
        <w:tc>
          <w:tcPr>
            <w:tcW w:type="dxa" w:w="250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FEMA OpenFEMA v2</w:t>
            </w:r>
          </w:p>
        </w:tc>
        <w:tc>
          <w:tcPr>
            <w:tcW w:type="dxa" w:w="466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Disaster declarations: type, incident type, dates, designated counties</w:t>
            </w:r>
          </w:p>
        </w:tc>
        <w:tc>
          <w:tcPr>
            <w:tcW w:type="dxa" w:w="220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Disaster x county</w:t>
            </w:r>
          </w:p>
        </w:tc>
      </w:tr>
      <w:tr>
        <w:tc>
          <w:tcPr>
            <w:tcW w:type="dxa" w:w="250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FRED / BLS</w:t>
            </w:r>
          </w:p>
        </w:tc>
        <w:tc>
          <w:tcPr>
            <w:tcW w:type="dxa" w:w="466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Monthly state unemployment for California, Texas and Wisconsin</w:t>
            </w:r>
          </w:p>
        </w:tc>
        <w:tc>
          <w:tcPr>
            <w:tcW w:type="dxa" w:w="220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State x month</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3.2 Volume actually processed</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Quantity</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Value</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Item-store series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30,490</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Distinct items / stores</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3,049 / 10</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Categories / departments / states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 / 7 / 3</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Item-days after release filtering</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46,881,677</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Weekly price records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6,841,121</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Calendar days covered</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1,969 (2011-01-29 to 2016-06-19)</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Zero-sale share of item-days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59.6%</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FEMA disasters in window (CA/TX/WI)</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116</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FRED monthly observations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1,818</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Demand is highly intermittent: </w:t>
      </w:r>
      <w:r>
        <w:rPr>
          <w:rFonts w:ascii="Calibri" w:cs="Calibri" w:eastAsia="Calibri" w:hAnsi="Calibri"/>
          <w:b/>
          <w:bCs/>
          <w:color w:val="1A1A1A"/>
          <w:sz w:val="21"/>
          <w:szCs w:val="21"/>
        </w:rPr>
        <w:t xml:space="preserve">59.6%</w:t>
      </w:r>
      <w:r>
        <w:rPr>
          <w:rFonts w:ascii="Calibri" w:cs="Calibri" w:eastAsia="Calibri" w:hAnsi="Calibri"/>
          <w:color w:val="1A1A1A"/>
          <w:sz w:val="21"/>
          <w:szCs w:val="21"/>
        </w:rPr>
        <w:t xml:space="preserve"> of item-days record zero sales. This single fact drives most of the modelling decisions that follow, from the choice of objective function to the way metrics are interpreted and the guards built into shock detection.</w:t>
      </w:r>
    </w:p>
    <w:p>
      <w:pPr>
        <w:pStyle w:val="Heading2"/>
        <w:spacing w:after="120" w:before="260"/>
      </w:pPr>
      <w:r>
        <w:rPr>
          <w:rFonts w:ascii="Calibri" w:cs="Calibri" w:eastAsia="Calibri" w:hAnsi="Calibri"/>
          <w:b/>
          <w:bCs/>
          <w:color w:val="0F766E"/>
          <w:sz w:val="24"/>
          <w:szCs w:val="24"/>
        </w:rPr>
        <w:t xml:space="preserve">3.3 Data quality validation</w:t>
      </w:r>
    </w:p>
    <w:p>
      <w:pPr>
        <w:spacing w:after="120" w:before="0" w:line="276"/>
      </w:pPr>
      <w:r>
        <w:rPr>
          <w:rFonts w:ascii="Calibri" w:cs="Calibri" w:eastAsia="Calibri" w:hAnsi="Calibri"/>
          <w:color w:val="1A1A1A"/>
          <w:sz w:val="21"/>
          <w:szCs w:val="21"/>
        </w:rPr>
        <w:t xml:space="preserve">The ingestion stage runs 59 automated checks and refuses to proceed if any fails. On the reported run: 59 passed, 0 warnings, 0 failures. Coverage includes file and column schemas, calendar continuity, hierarchy consistency, duplicate keys, price validity, FEMA deduplication counts, FRED coverage, and join integrity.</w:t>
      </w:r>
    </w:p>
    <w:p>
      <w:pPr>
        <w:pStyle w:val="Heading2"/>
        <w:spacing w:after="120" w:before="260"/>
      </w:pPr>
      <w:r>
        <w:rPr>
          <w:rFonts w:ascii="Calibri" w:cs="Calibri" w:eastAsia="Calibri" w:hAnsi="Calibri"/>
          <w:b/>
          <w:bCs/>
          <w:color w:val="0F766E"/>
          <w:sz w:val="24"/>
          <w:szCs w:val="24"/>
        </w:rPr>
        <w:t xml:space="preserve">3.4 Deliberate exclusions</w:t>
      </w:r>
    </w:p>
    <w:p>
      <w:pPr>
        <w:pStyle w:val="ListParagraph"/>
        <w:numPr>
          <w:ilvl w:val="0"/>
          <w:numId w:val="2"/>
        </w:numPr>
        <w:spacing w:after="70" w:line="276"/>
      </w:pPr>
      <w:r>
        <w:rPr>
          <w:rFonts w:ascii="Calibri" w:cs="Calibri" w:eastAsia="Calibri" w:hAnsi="Calibri"/>
          <w:color w:val="1A1A1A"/>
          <w:sz w:val="21"/>
          <w:szCs w:val="21"/>
        </w:rPr>
        <w:t xml:space="preserve">NOAA GHCN-Daily weather extracts are present on disk but never read. Weather is out of scope in this version and is documented as a possible extension; no feature, page or endpoint depends on it.</w:t>
      </w:r>
    </w:p>
    <w:p>
      <w:pPr>
        <w:pStyle w:val="ListParagraph"/>
        <w:numPr>
          <w:ilvl w:val="0"/>
          <w:numId w:val="2"/>
        </w:numPr>
        <w:spacing w:after="70" w:line="276"/>
      </w:pPr>
      <w:r>
        <w:rPr>
          <w:rFonts w:ascii="Calibri" w:cs="Calibri" w:eastAsia="Calibri" w:hAnsi="Calibri"/>
          <w:color w:val="1A1A1A"/>
          <w:sz w:val="21"/>
          <w:szCs w:val="21"/>
        </w:rPr>
        <w:t xml:space="preserve">The Kaggle submission scaffold and spreadsheet duplicates of the FRED series are likewise excluded and enumerated in configuration.</w:t>
      </w:r>
    </w:p>
    <w:p>
      <w:pPr>
        <w:pStyle w:val="Heading2"/>
        <w:spacing w:after="120" w:before="260"/>
      </w:pPr>
      <w:r>
        <w:rPr>
          <w:rFonts w:ascii="Calibri" w:cs="Calibri" w:eastAsia="Calibri" w:hAnsi="Calibri"/>
          <w:b/>
          <w:bCs/>
          <w:color w:val="0F766E"/>
          <w:sz w:val="24"/>
          <w:szCs w:val="24"/>
        </w:rPr>
        <w:t xml:space="preserve">3.5 Handling of pre-assortment days</w:t>
      </w:r>
    </w:p>
    <w:p>
      <w:pPr>
        <w:spacing w:after="120" w:before="0" w:line="276"/>
      </w:pPr>
      <w:r>
        <w:rPr>
          <w:rFonts w:ascii="Calibri" w:cs="Calibri" w:eastAsia="Calibri" w:hAnsi="Calibri"/>
          <w:color w:val="1A1A1A"/>
          <w:sz w:val="21"/>
          <w:szCs w:val="21"/>
        </w:rPr>
        <w:t xml:space="preserve">A product that had not yet been introduced in a store records zeros that are not demand signal. Rows before a series' first priced week are therefore dropped rather than treated as zero demand. The rule is applied consistently and the number of removed rows is counted and reported in the data quality artifact, never applied silently.</w:t>
      </w:r>
    </w:p>
    <w:p>
      <w:r>
        <w:br w:type="page"/>
      </w:r>
    </w:p>
    <w:p>
      <w:pPr>
        <w:pStyle w:val="Heading1"/>
        <w:spacing w:after="160" w:before="360"/>
      </w:pPr>
      <w:r>
        <w:rPr>
          <w:rFonts w:ascii="Calibri" w:cs="Calibri" w:eastAsia="Calibri" w:hAnsi="Calibri"/>
          <w:b/>
          <w:bCs/>
          <w:color w:val="0B3C5D"/>
          <w:sz w:val="30"/>
          <w:szCs w:val="30"/>
        </w:rPr>
        <w:t xml:space="preserve">4. System Architecture</w:t>
      </w:r>
    </w:p>
    <w:p>
      <w:pPr>
        <w:spacing w:after="120" w:before="0" w:line="276"/>
      </w:pPr>
      <w:r>
        <w:rPr>
          <w:rFonts w:ascii="Calibri" w:cs="Calibri" w:eastAsia="Calibri" w:hAnsi="Calibri"/>
          <w:color w:val="1A1A1A"/>
          <w:sz w:val="21"/>
          <w:szCs w:val="21"/>
        </w:rPr>
        <w:t xml:space="preserve">The system is a batch pipeline that produces artifacts, plus two thin read-only presentation layers. The application and the API never train models, never read raw CSV files, and never load a feature matrix. This decoupling is what keeps the user interface responsive regardless of the scale of the training run.</w:t>
      </w:r>
    </w:p>
    <w:p>
      <w:pPr>
        <w:pStyle w:val="Heading2"/>
        <w:spacing w:after="120" w:before="260"/>
      </w:pPr>
      <w:r>
        <w:rPr>
          <w:rFonts w:ascii="Calibri" w:cs="Calibri" w:eastAsia="Calibri" w:hAnsi="Calibri"/>
          <w:b/>
          <w:bCs/>
          <w:color w:val="0F766E"/>
          <w:sz w:val="24"/>
          <w:szCs w:val="24"/>
        </w:rPr>
        <w:t xml:space="preserve">4.1 Pipeline stages</w:t>
      </w:r>
    </w:p>
    <w:tbl>
      <w:tblPr>
        <w:tblW w:type="dxa" w:w="9360"/>
        <w:tblBorders>
          <w:top w:val="single" w:color="C9D2DB" w:sz="2"/>
          <w:left w:val="none"/>
          <w:bottom w:val="single" w:color="C9D2DB" w:sz="2"/>
          <w:right w:val="none"/>
          <w:insideH w:val="single" w:color="DCE3EA" w:sz="1"/>
          <w:insideV w:val="none"/>
        </w:tblBorders>
      </w:tblPr>
      <w:tblGrid>
        <w:gridCol w:w="2500"/>
        <w:gridCol w:w="2500"/>
        <w:gridCol w:w="4360"/>
      </w:tblGrid>
      <w:tr>
        <w:trPr>
          <w:tblHeader/>
        </w:trPr>
        <w:tc>
          <w:tcPr>
            <w:tcW w:type="dxa" w:w="25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Stage</w:t>
            </w:r>
          </w:p>
        </w:tc>
        <w:tc>
          <w:tcPr>
            <w:tcW w:type="dxa" w:w="25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Script</w:t>
            </w:r>
          </w:p>
        </w:tc>
        <w:tc>
          <w:tcPr>
            <w:tcW w:type="dxa" w:w="43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Produces</w:t>
            </w:r>
          </w:p>
        </w:tc>
      </w:tr>
      <w:tr>
        <w:tc>
          <w:tcPr>
            <w:tcW w:type="dxa" w:w="2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1. Ingest and validate</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prepare_data.py</w:t>
            </w:r>
          </w:p>
        </w:tc>
        <w:tc>
          <w:tcPr>
            <w:tcW w:type="dxa" w:w="4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Parquet tables, data quality report</w:t>
            </w:r>
          </w:p>
        </w:tc>
      </w:tr>
      <w:tr>
        <w:tc>
          <w:tcPr>
            <w:tcW w:type="dxa" w:w="2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2. Feature engineering</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prepare_data.py</w:t>
            </w:r>
          </w:p>
        </w:tc>
        <w:tc>
          <w:tcPr>
            <w:tcW w:type="dxa" w:w="4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Model-ready feature matrix per store</w:t>
            </w:r>
          </w:p>
        </w:tc>
      </w:tr>
      <w:tr>
        <w:tc>
          <w:tcPr>
            <w:tcW w:type="dxa" w:w="2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3. Train and backtest</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train.py</w:t>
            </w:r>
          </w:p>
        </w:tc>
        <w:tc>
          <w:tcPr>
            <w:tcW w:type="dxa" w:w="4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Forecasts, metrics, ablation, intervals</w:t>
            </w:r>
          </w:p>
        </w:tc>
      </w:tr>
      <w:tr>
        <w:tc>
          <w:tcPr>
            <w:tcW w:type="dxa" w:w="2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4. Shock and inventory</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evaluate.py</w:t>
            </w:r>
          </w:p>
        </w:tc>
        <w:tc>
          <w:tcPr>
            <w:tcW w:type="dxa" w:w="4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Shock scores, episodes, exposure table</w:t>
            </w:r>
          </w:p>
        </w:tc>
      </w:tr>
      <w:tr>
        <w:tc>
          <w:tcPr>
            <w:tcW w:type="dxa" w:w="2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5. Publish results</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export_results.py</w:t>
            </w:r>
          </w:p>
        </w:tc>
        <w:tc>
          <w:tcPr>
            <w:tcW w:type="dxa" w:w="4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RESULTS.md generated from artifacts</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4.2 Data flow</w:t>
      </w:r>
    </w:p>
    <w:p>
      <w:pPr>
        <w:spacing w:after="120" w:before="0" w:line="276"/>
      </w:pPr>
      <w:r>
        <w:rPr>
          <w:rFonts w:ascii="Calibri" w:cs="Calibri" w:eastAsia="Calibri" w:hAnsi="Calibri"/>
          <w:color w:val="1A1A1A"/>
          <w:sz w:val="21"/>
          <w:szCs w:val="21"/>
        </w:rPr>
        <w:t xml:space="preserve">M5 sales, prices and calendar, together with FEMA declarations and FRED unemployment, pass through validation and normalisation into Parquet tables. Feature engineering produces an origin-frozen feature matrix. Three benchmark models and one global LightGBM model are trained under rolling-origin backtesting; the ablation compares four cumulative feature sets. Residuals feed both the empirical prediction intervals and the shock detector. The deploy model produces a genuine forward forecast beyond the end of the data. All outputs land in an artifact directory that the Streamlit application and FastAPI service read.</w:t>
      </w:r>
    </w:p>
    <w:p>
      <w:pPr>
        <w:pStyle w:val="Heading2"/>
        <w:spacing w:after="120" w:before="260"/>
      </w:pPr>
      <w:r>
        <w:rPr>
          <w:rFonts w:ascii="Calibri" w:cs="Calibri" w:eastAsia="Calibri" w:hAnsi="Calibri"/>
          <w:b/>
          <w:bCs/>
          <w:color w:val="0F766E"/>
          <w:sz w:val="24"/>
          <w:szCs w:val="24"/>
        </w:rPr>
        <w:t xml:space="preserve">4.3 Technology choices</w:t>
      </w:r>
    </w:p>
    <w:tbl>
      <w:tblPr>
        <w:tblW w:type="dxa" w:w="9360"/>
        <w:tblBorders>
          <w:top w:val="single" w:color="C9D2DB" w:sz="2"/>
          <w:left w:val="none"/>
          <w:bottom w:val="single" w:color="C9D2DB" w:sz="2"/>
          <w:right w:val="none"/>
          <w:insideH w:val="single" w:color="DCE3EA" w:sz="1"/>
          <w:insideV w:val="none"/>
        </w:tblBorders>
      </w:tblPr>
      <w:tblGrid>
        <w:gridCol w:w="2100"/>
        <w:gridCol w:w="2500"/>
        <w:gridCol w:w="4760"/>
      </w:tblGrid>
      <w:tr>
        <w:trPr>
          <w:tblHeader/>
        </w:trPr>
        <w:tc>
          <w:tcPr>
            <w:tcW w:type="dxa" w:w="21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Component</w:t>
            </w:r>
          </w:p>
        </w:tc>
        <w:tc>
          <w:tcPr>
            <w:tcW w:type="dxa" w:w="25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Choice</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Reason</w:t>
            </w:r>
          </w:p>
        </w:tc>
      </w:tr>
      <w:tr>
        <w:tc>
          <w:tcPr>
            <w:tcW w:type="dxa" w:w="2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Data processing</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pandas, numpy, pyarrow</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Sufficient at this scale; no extra dependencies</w:t>
            </w:r>
          </w:p>
        </w:tc>
      </w:tr>
      <w:tr>
        <w:tc>
          <w:tcPr>
            <w:tcW w:type="dxa" w:w="2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Model</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LightGBM (Tweedie)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Intermittent counts, native categoricals, exact TreeSHAP</w:t>
            </w:r>
          </w:p>
        </w:tc>
      </w:tr>
      <w:tr>
        <w:tc>
          <w:tcPr>
            <w:tcW w:type="dxa" w:w="2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Uncertainty</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Empirical residual quantiles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Calibrated by construction, near-zero cost</w:t>
            </w:r>
          </w:p>
        </w:tc>
      </w:tr>
      <w:tr>
        <w:tc>
          <w:tcPr>
            <w:tcW w:type="dxa" w:w="2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Application</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Streamlit + Plotly</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Rapid, dark analytical interface</w:t>
            </w:r>
          </w:p>
        </w:tc>
      </w:tr>
      <w:tr>
        <w:tc>
          <w:tcPr>
            <w:tcW w:type="dxa" w:w="2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Service layer</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FastAPI + pydantic</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Thin typed read layer over the same artifacts</w:t>
            </w:r>
          </w:p>
        </w:tc>
      </w:tr>
      <w:tr>
        <w:tc>
          <w:tcPr>
            <w:tcW w:type="dxa" w:w="2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Testing</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pytest</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Leakage proofs are release-gating</w:t>
            </w:r>
          </w:p>
        </w:tc>
      </w:tr>
    </w:tbl>
    <w:p>
      <w:pPr>
        <w:spacing w:after="0" w:before="0" w:line="276"/>
      </w:pPr>
      <w:r>
        <w:rPr>
          <w:rFonts w:ascii="Calibri" w:cs="Calibri" w:eastAsia="Calibri" w:hAnsi="Calibri"/>
          <w:color w:val="1A1A1A"/>
          <w:sz w:val="21"/>
          <w:szCs w:val="21"/>
        </w:rPr>
        <w:t xml:space="preserve"/>
      </w:r>
    </w:p>
    <w:p>
      <w:pPr>
        <w:shd w:fill="F7F9FB" w:color="auto" w:val="clear"/>
        <w:spacing w:after="0" w:before="100" w:line="276"/>
      </w:pPr>
      <w:r>
        <w:rPr>
          <w:rFonts w:ascii="Calibri" w:cs="Calibri" w:eastAsia="Calibri" w:hAnsi="Calibri"/>
          <w:b/>
          <w:bCs/>
          <w:color w:val="0B3C5D"/>
          <w:sz w:val="21"/>
          <w:szCs w:val="21"/>
        </w:rPr>
        <w:t xml:space="preserve">Deliberately not built</w:t>
      </w:r>
    </w:p>
    <w:p>
      <w:pPr>
        <w:shd w:fill="F7F9FB" w:color="auto" w:val="clear"/>
        <w:spacing w:after="160" w:before="0" w:line="276"/>
      </w:pPr>
      <w:r>
        <w:rPr>
          <w:rFonts w:ascii="Calibri" w:cs="Calibri" w:eastAsia="Calibri" w:hAnsi="Calibri"/>
          <w:color w:val="1A1A1A"/>
          <w:sz w:val="21"/>
          <w:szCs w:val="21"/>
        </w:rPr>
        <w:t xml:space="preserve">No orchestration cluster, message queue, feature store, experiment tracker or microservice layer. No recursive forecaster, no additional model families, no synthetic scenario simulator, and no causal inference. Each omission was a decision to protect correctness and clarity rather than an oversight.</w:t>
      </w:r>
    </w:p>
    <w:p>
      <w:pPr>
        <w:pStyle w:val="Heading2"/>
        <w:spacing w:after="120" w:before="260"/>
      </w:pPr>
      <w:r>
        <w:rPr>
          <w:rFonts w:ascii="Calibri" w:cs="Calibri" w:eastAsia="Calibri" w:hAnsi="Calibri"/>
          <w:b/>
          <w:bCs/>
          <w:color w:val="0F766E"/>
          <w:sz w:val="24"/>
          <w:szCs w:val="24"/>
        </w:rPr>
        <w:t xml:space="preserve">4.4 Verified operating environment</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Library</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Version</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python</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3.14.4</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pandas</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3.0.2</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numpy</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2.4.4</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lightgbm</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4.6.0</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pyarrow</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23.0.1</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scipy</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1.17.1</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scikit-learn</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1.8.0</w:t>
            </w:r>
          </w:p>
        </w:tc>
      </w:tr>
    </w:tbl>
    <w:p>
      <w:r>
        <w:br w:type="page"/>
      </w:r>
    </w:p>
    <w:p>
      <w:pPr>
        <w:pStyle w:val="Heading1"/>
        <w:spacing w:after="160" w:before="360"/>
      </w:pPr>
      <w:r>
        <w:rPr>
          <w:rFonts w:ascii="Calibri" w:cs="Calibri" w:eastAsia="Calibri" w:hAnsi="Calibri"/>
          <w:b/>
          <w:bCs/>
          <w:color w:val="0B3C5D"/>
          <w:sz w:val="30"/>
          <w:szCs w:val="30"/>
        </w:rPr>
        <w:t xml:space="preserve">5. Forecasting Methodology</w:t>
      </w:r>
    </w:p>
    <w:p>
      <w:pPr>
        <w:pStyle w:val="Heading2"/>
        <w:spacing w:after="120" w:before="260"/>
      </w:pPr>
      <w:r>
        <w:rPr>
          <w:rFonts w:ascii="Calibri" w:cs="Calibri" w:eastAsia="Calibri" w:hAnsi="Calibri"/>
          <w:b/>
          <w:bCs/>
          <w:color w:val="0F766E"/>
          <w:sz w:val="24"/>
          <w:szCs w:val="24"/>
        </w:rPr>
        <w:t xml:space="preserve">5.1 The governing invariant</w:t>
      </w:r>
    </w:p>
    <w:p>
      <w:pPr>
        <w:shd w:fill="F7F9FB" w:color="auto" w:val="clear"/>
        <w:spacing w:after="120" w:before="0" w:line="276"/>
      </w:pPr>
      <w:r>
        <w:rPr>
          <w:rFonts w:ascii="Calibri" w:cs="Calibri" w:eastAsia="Calibri" w:hAnsi="Calibri"/>
          <w:b/>
          <w:bCs/>
          <w:color w:val="0B3C5D"/>
          <w:sz w:val="21"/>
          <w:szCs w:val="21"/>
        </w:rPr>
        <w:t xml:space="preserve">Every feature for target date t is computable from information available at the forecast origin, defined as t minus 28 days, or is genuinely known in advance.</w:t>
      </w:r>
    </w:p>
    <w:p>
      <w:pPr>
        <w:spacing w:after="120" w:before="0" w:line="276"/>
      </w:pPr>
      <w:r>
        <w:rPr>
          <w:rFonts w:ascii="Calibri" w:cs="Calibri" w:eastAsia="Calibri" w:hAnsi="Calibri"/>
          <w:color w:val="1A1A1A"/>
          <w:sz w:val="21"/>
          <w:szCs w:val="21"/>
        </w:rPr>
        <w:t xml:space="preserve">Three consequences follow. Demand lags begin at 28 days. Rolling statistics are computed on a series already shifted by 28 days, so no window can reach into the forecast horizon. FEMA and FRED tables are joined at the origin date rather than the target date, so they represent the state of the world as it was known when the forecast was made.</w:t>
      </w:r>
    </w:p>
    <w:p>
      <w:pPr>
        <w:pStyle w:val="Heading2"/>
        <w:spacing w:after="120" w:before="260"/>
      </w:pPr>
      <w:r>
        <w:rPr>
          <w:rFonts w:ascii="Calibri" w:cs="Calibri" w:eastAsia="Calibri" w:hAnsi="Calibri"/>
          <w:b/>
          <w:bCs/>
          <w:color w:val="0F766E"/>
          <w:sz w:val="24"/>
          <w:szCs w:val="24"/>
        </w:rPr>
        <w:t xml:space="preserve">5.2 Why a direct model rather than a recursive one</w:t>
      </w:r>
    </w:p>
    <w:p>
      <w:pPr>
        <w:spacing w:after="120" w:before="0" w:line="276"/>
      </w:pPr>
      <w:r>
        <w:rPr>
          <w:rFonts w:ascii="Calibri" w:cs="Calibri" w:eastAsia="Calibri" w:hAnsi="Calibri"/>
          <w:color w:val="1A1A1A"/>
          <w:sz w:val="21"/>
          <w:szCs w:val="21"/>
        </w:rPr>
        <w:t xml:space="preserve">A recursive one-step model would feed its own predictions back into lag features. With the majority of item-days at zero, those predictions are fractional values entering features whose training distribution is integer and zero-heavy. That distribution shift compounds across 28 steps and would contaminate precisely the residuals the shock detector depends on. A direct model also means training and inference share one feature function, so there is no second implementation to drift out of sync.</w:t>
      </w:r>
    </w:p>
    <w:p>
      <w:pPr>
        <w:spacing w:after="120" w:before="0" w:line="276"/>
      </w:pPr>
      <w:r>
        <w:rPr>
          <w:rFonts w:ascii="Calibri" w:cs="Calibri" w:eastAsia="Calibri" w:hAnsi="Calibri"/>
          <w:color w:val="1A1A1A"/>
          <w:sz w:val="21"/>
          <w:szCs w:val="21"/>
        </w:rPr>
        <w:t xml:space="preserve">The honest cost is stated inside the application: a seven-day-ahead forecast sees demand only as of 28 days earlier. This is also why seasonal-naive at lag 28 is the primary benchmark - it forecasts from exactly the same age of information.</w:t>
      </w:r>
    </w:p>
    <w:p>
      <w:pPr>
        <w:pStyle w:val="Heading2"/>
        <w:spacing w:after="120" w:before="260"/>
      </w:pPr>
      <w:r>
        <w:rPr>
          <w:rFonts w:ascii="Calibri" w:cs="Calibri" w:eastAsia="Calibri" w:hAnsi="Calibri"/>
          <w:b/>
          <w:bCs/>
          <w:color w:val="0F766E"/>
          <w:sz w:val="24"/>
          <w:szCs w:val="24"/>
        </w:rPr>
        <w:t xml:space="preserve">5.3 Feature specification</w:t>
      </w:r>
    </w:p>
    <w:p>
      <w:pPr>
        <w:spacing w:after="120" w:before="0" w:line="276"/>
      </w:pPr>
      <w:r>
        <w:rPr>
          <w:rFonts w:ascii="Calibri" w:cs="Calibri" w:eastAsia="Calibri" w:hAnsi="Calibri"/>
          <w:color w:val="1A1A1A"/>
          <w:sz w:val="21"/>
          <w:szCs w:val="21"/>
        </w:rPr>
        <w:t xml:space="preserve">The full specification contains 47 features across six families. The selected feature set B uses 36 of them.</w:t>
      </w:r>
    </w:p>
    <w:tbl>
      <w:tblPr>
        <w:tblW w:type="dxa" w:w="9360"/>
        <w:tblBorders>
          <w:top w:val="single" w:color="C9D2DB" w:sz="2"/>
          <w:left w:val="none"/>
          <w:bottom w:val="single" w:color="C9D2DB" w:sz="2"/>
          <w:right w:val="none"/>
          <w:insideH w:val="single" w:color="DCE3EA" w:sz="1"/>
          <w:insideV w:val="none"/>
        </w:tblBorders>
      </w:tblPr>
      <w:tblGrid>
        <w:gridCol w:w="1900"/>
        <w:gridCol w:w="800"/>
        <w:gridCol w:w="6660"/>
      </w:tblGrid>
      <w:tr>
        <w:trPr>
          <w:tblHeader/>
        </w:trPr>
        <w:tc>
          <w:tcPr>
            <w:tcW w:type="dxa" w:w="19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Family</w:t>
            </w:r>
          </w:p>
        </w:tc>
        <w:tc>
          <w:tcPr>
            <w:tcW w:type="dxa" w:w="8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Count</w:t>
            </w:r>
          </w:p>
        </w:tc>
        <w:tc>
          <w:tcPr>
            <w:tcW w:type="dxa" w:w="66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Representative features</w:t>
            </w:r>
          </w:p>
        </w:tc>
      </w:tr>
      <w:tr>
        <w:tc>
          <w:tcPr>
            <w:tcW w:type="dxa" w:w="1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Demand history</w:t>
            </w:r>
          </w:p>
        </w:tc>
        <w:tc>
          <w:tcPr>
            <w:tcW w:type="dxa" w:w="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w:t>
            </w:r>
          </w:p>
        </w:tc>
        <w:tc>
          <w:tcPr>
            <w:tcW w:type="dxa" w:w="66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Lags 28-56; rolling mean and standard deviation over 7/28/56 days; zero rate; days since last sale</w:t>
            </w:r>
          </w:p>
        </w:tc>
      </w:tr>
      <w:tr>
        <w:tc>
          <w:tcPr>
            <w:tcW w:type="dxa" w:w="1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Calendar</w:t>
            </w:r>
          </w:p>
        </w:tc>
        <w:tc>
          <w:tcPr>
            <w:tcW w:type="dxa" w:w="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w:t>
            </w:r>
          </w:p>
        </w:tc>
        <w:tc>
          <w:tcPr>
            <w:tcW w:type="dxa" w:w="66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Weekday, day of month, week of year, SNAP for the store's own state, event names and proximity</w:t>
            </w:r>
          </w:p>
        </w:tc>
      </w:tr>
      <w:tr>
        <w:tc>
          <w:tcPr>
            <w:tcW w:type="dxa" w:w="1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Price</w:t>
            </w:r>
          </w:p>
        </w:tc>
        <w:tc>
          <w:tcPr>
            <w:tcW w:type="dxa" w:w="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c>
          <w:tcPr>
            <w:tcW w:type="dxa" w:w="66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Sell price, weekly change, price relative to a 52-week mean, 4-week momentum</w:t>
            </w:r>
          </w:p>
        </w:tc>
      </w:tr>
      <w:tr>
        <w:tc>
          <w:tcPr>
            <w:tcW w:type="dxa" w:w="1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FEMA context</w:t>
            </w:r>
          </w:p>
        </w:tc>
        <w:tc>
          <w:tcPr>
            <w:tcW w:type="dxa" w:w="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c>
          <w:tcPr>
            <w:tcW w:type="dxa" w:w="66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Active declaration count, major-declaration flag, incident-type flags, designated-county extent</w:t>
            </w:r>
          </w:p>
        </w:tc>
      </w:tr>
      <w:tr>
        <w:tc>
          <w:tcPr>
            <w:tcW w:type="dxa" w:w="1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Economic context</w:t>
            </w:r>
          </w:p>
        </w:tc>
        <w:tc>
          <w:tcPr>
            <w:tcW w:type="dxa" w:w="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66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Unemployment level and 1-month, 3-month, year-over-year change</w:t>
            </w:r>
          </w:p>
        </w:tc>
      </w:tr>
      <w:tr>
        <w:tc>
          <w:tcPr>
            <w:tcW w:type="dxa" w:w="1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Identity</w:t>
            </w:r>
          </w:p>
        </w:tc>
        <w:tc>
          <w:tcPr>
            <w:tcW w:type="dxa" w:w="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c>
          <w:tcPr>
            <w:tcW w:type="dxa" w:w="66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Item, department, category, store, state as native categoricals</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5.4 Objective function</w:t>
      </w:r>
    </w:p>
    <w:p>
      <w:pPr>
        <w:spacing w:after="120" w:before="0" w:line="276"/>
      </w:pPr>
      <w:r>
        <w:rPr>
          <w:rFonts w:ascii="Calibri" w:cs="Calibri" w:eastAsia="Calibri" w:hAnsi="Calibri"/>
          <w:color w:val="1A1A1A"/>
          <w:sz w:val="21"/>
          <w:szCs w:val="21"/>
        </w:rPr>
        <w:t xml:space="preserve">The Tweedie objective was selected because it models a point mass at zero together with a continuous positive part, which matches intermittent unit sales. The choice was validated empirically against Poisson and squared-error alternatives on a single development fold and then frozen. No further hyperparameter search was performed, and the application discloses this.</w:t>
      </w:r>
    </w:p>
    <w:p>
      <w:pPr>
        <w:pStyle w:val="Heading2"/>
        <w:spacing w:after="120" w:before="260"/>
      </w:pPr>
      <w:r>
        <w:rPr>
          <w:rFonts w:ascii="Calibri" w:cs="Calibri" w:eastAsia="Calibri" w:hAnsi="Calibri"/>
          <w:b/>
          <w:bCs/>
          <w:color w:val="0F766E"/>
          <w:sz w:val="24"/>
          <w:szCs w:val="24"/>
        </w:rPr>
        <w:t xml:space="preserve">5.5 Validation design</w:t>
      </w:r>
    </w:p>
    <w:p>
      <w:pPr>
        <w:spacing w:after="120" w:before="0" w:line="276"/>
      </w:pPr>
      <w:r>
        <w:rPr>
          <w:rFonts w:ascii="Calibri" w:cs="Calibri" w:eastAsia="Calibri" w:hAnsi="Calibri"/>
          <w:color w:val="1A1A1A"/>
          <w:sz w:val="21"/>
          <w:szCs w:val="21"/>
        </w:rPr>
        <w:t xml:space="preserve">Validation is chronological throughout. No random splitting exists anywhere in the codebase. Three rolling-origin folds are used for the ablation and for pooling residuals; the holdout window is opened once, after the feature set has been selected; a forward window beyond the end of the data receives a genuine forecast with no actuals to compare against.</w:t>
      </w:r>
    </w:p>
    <w:tbl>
      <w:tblPr>
        <w:tblW w:type="dxa" w:w="9360"/>
        <w:tblBorders>
          <w:top w:val="single" w:color="C9D2DB" w:sz="2"/>
          <w:left w:val="none"/>
          <w:bottom w:val="single" w:color="C9D2DB" w:sz="2"/>
          <w:right w:val="none"/>
          <w:insideH w:val="single" w:color="DCE3EA" w:sz="1"/>
          <w:insideV w:val="none"/>
        </w:tblBorders>
      </w:tblPr>
      <w:tblGrid>
        <w:gridCol w:w="1500"/>
        <w:gridCol w:w="1300"/>
        <w:gridCol w:w="3560"/>
        <w:gridCol w:w="3000"/>
      </w:tblGrid>
      <w:tr>
        <w:trPr>
          <w:tblHeader/>
        </w:trPr>
        <w:tc>
          <w:tcPr>
            <w:tcW w:type="dxa" w:w="15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Split</w:t>
            </w:r>
          </w:p>
        </w:tc>
        <w:tc>
          <w:tcPr>
            <w:tcW w:type="dxa" w:w="13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Days</w:t>
            </w:r>
          </w:p>
        </w:tc>
        <w:tc>
          <w:tcPr>
            <w:tcW w:type="dxa" w:w="35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Dates</w:t>
            </w:r>
          </w:p>
        </w:tc>
        <w:tc>
          <w:tcPr>
            <w:tcW w:type="dxa" w:w="30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Role</w:t>
            </w:r>
          </w:p>
        </w:tc>
      </w:tr>
      <w:tr>
        <w:tc>
          <w:tcPr>
            <w:tcW w:type="dxa" w:w="1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Fold F1</w:t>
            </w:r>
          </w:p>
        </w:tc>
        <w:tc>
          <w:tcPr>
            <w:tcW w:type="dxa" w:w="13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1830-1857</w:t>
            </w:r>
          </w:p>
        </w:tc>
        <w:tc>
          <w:tcPr>
            <w:tcW w:type="dxa" w:w="35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2016-02-01 to 2016-02-28</w:t>
            </w:r>
          </w:p>
        </w:tc>
        <w:tc>
          <w:tcPr>
            <w:tcW w:type="dxa" w:w="3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Ablation, residual pool</w:t>
            </w:r>
          </w:p>
        </w:tc>
      </w:tr>
      <w:tr>
        <w:tc>
          <w:tcPr>
            <w:tcW w:type="dxa" w:w="1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Fold F2</w:t>
            </w:r>
          </w:p>
        </w:tc>
        <w:tc>
          <w:tcPr>
            <w:tcW w:type="dxa" w:w="13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1858-1885</w:t>
            </w:r>
          </w:p>
        </w:tc>
        <w:tc>
          <w:tcPr>
            <w:tcW w:type="dxa" w:w="35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2016-02-29 to 2016-03-27</w:t>
            </w:r>
          </w:p>
        </w:tc>
        <w:tc>
          <w:tcPr>
            <w:tcW w:type="dxa" w:w="3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Ablation, residual pool</w:t>
            </w:r>
          </w:p>
        </w:tc>
      </w:tr>
      <w:tr>
        <w:tc>
          <w:tcPr>
            <w:tcW w:type="dxa" w:w="1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Fold F3</w:t>
            </w:r>
          </w:p>
        </w:tc>
        <w:tc>
          <w:tcPr>
            <w:tcW w:type="dxa" w:w="13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1886-1913</w:t>
            </w:r>
          </w:p>
        </w:tc>
        <w:tc>
          <w:tcPr>
            <w:tcW w:type="dxa" w:w="35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2016-03-28 to 2016-04-24</w:t>
            </w:r>
          </w:p>
        </w:tc>
        <w:tc>
          <w:tcPr>
            <w:tcW w:type="dxa" w:w="3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Ablation, residual pool</w:t>
            </w:r>
          </w:p>
        </w:tc>
      </w:tr>
      <w:tr>
        <w:tc>
          <w:tcPr>
            <w:tcW w:type="dxa" w:w="1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Holdout</w:t>
            </w:r>
          </w:p>
        </w:tc>
        <w:tc>
          <w:tcPr>
            <w:tcW w:type="dxa" w:w="13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1914-1941</w:t>
            </w:r>
          </w:p>
        </w:tc>
        <w:tc>
          <w:tcPr>
            <w:tcW w:type="dxa" w:w="35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2016-04-25 to 2016-05-22</w:t>
            </w:r>
          </w:p>
        </w:tc>
        <w:tc>
          <w:tcPr>
            <w:tcW w:type="dxa" w:w="3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Headline results, opened once</w:t>
            </w:r>
          </w:p>
        </w:tc>
      </w:tr>
      <w:tr>
        <w:tc>
          <w:tcPr>
            <w:tcW w:type="dxa" w:w="1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Forward</w:t>
            </w:r>
          </w:p>
        </w:tc>
        <w:tc>
          <w:tcPr>
            <w:tcW w:type="dxa" w:w="13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1942-1969</w:t>
            </w:r>
          </w:p>
        </w:tc>
        <w:tc>
          <w:tcPr>
            <w:tcW w:type="dxa" w:w="35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2016-05-23 to 2016-06-19</w:t>
            </w:r>
          </w:p>
        </w:tc>
        <w:tc>
          <w:tcPr>
            <w:tcW w:type="dxa" w:w="3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Forward forecast, no actuals</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5.6 Metric definitions</w:t>
      </w:r>
    </w:p>
    <w:tbl>
      <w:tblPr>
        <w:tblW w:type="dxa" w:w="9360"/>
        <w:tblBorders>
          <w:top w:val="single" w:color="C9D2DB" w:sz="2"/>
          <w:left w:val="none"/>
          <w:bottom w:val="single" w:color="C9D2DB" w:sz="2"/>
          <w:right w:val="none"/>
          <w:insideH w:val="single" w:color="DCE3EA" w:sz="1"/>
          <w:insideV w:val="none"/>
        </w:tblBorders>
      </w:tblPr>
      <w:tblGrid>
        <w:gridCol w:w="1500"/>
        <w:gridCol w:w="7860"/>
      </w:tblGrid>
      <w:tr>
        <w:trPr>
          <w:tblHeader/>
        </w:trPr>
        <w:tc>
          <w:tcPr>
            <w:tcW w:type="dxa" w:w="15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Metric</w:t>
            </w:r>
          </w:p>
        </w:tc>
        <w:tc>
          <w:tcPr>
            <w:tcW w:type="dxa" w:w="78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Definition and handling</w:t>
            </w:r>
          </w:p>
        </w:tc>
      </w:tr>
      <w:tr>
        <w:tc>
          <w:tcPr>
            <w:tcW w:type="dxa" w:w="1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WAPE</w:t>
            </w:r>
          </w:p>
        </w:tc>
        <w:tc>
          <w:tcPr>
            <w:tcW w:type="dxa" w:w="78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Total absolute error divided by total actual units. The most reliable headline metric on intermittent demand.</w:t>
            </w:r>
          </w:p>
        </w:tc>
      </w:tr>
      <w:tr>
        <w:tc>
          <w:tcPr>
            <w:tcW w:type="dxa" w:w="1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RMSSE</w:t>
            </w:r>
          </w:p>
        </w:tc>
        <w:tc>
          <w:tcPr>
            <w:tcW w:type="dxa" w:w="78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Root mean squared error scaled by the in-sample one-step naive error per series. Below 1.0 beats that benchmark. Series with flat training history are excluded and the exclusions are counted.</w:t>
            </w:r>
          </w:p>
        </w:tc>
      </w:tr>
      <w:tr>
        <w:tc>
          <w:tcPr>
            <w:tcW w:type="dxa" w:w="1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MAE / RMSE</w:t>
            </w:r>
          </w:p>
        </w:tc>
        <w:tc>
          <w:tcPr>
            <w:tcW w:type="dxa" w:w="78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Mean absolute and root mean squared error in units, pooled across item-days.</w:t>
            </w:r>
          </w:p>
        </w:tc>
      </w:tr>
      <w:tr>
        <w:tc>
          <w:tcPr>
            <w:tcW w:type="dxa" w:w="1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sMAPE</w:t>
            </w:r>
          </w:p>
        </w:tc>
        <w:tc>
          <w:tcPr>
            <w:tcW w:type="dxa" w:w="78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Reported for completeness but unstable here: a zero forecast scores perfectly on a zero-sale day while any positive forecast is penalised the full 200%.</w:t>
            </w:r>
          </w:p>
        </w:tc>
      </w:tr>
      <w:tr>
        <w:tc>
          <w:tcPr>
            <w:tcW w:type="dxa" w:w="1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Bias</w:t>
            </w:r>
          </w:p>
        </w:tc>
        <w:tc>
          <w:tcPr>
            <w:tcW w:type="dxa" w:w="78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Total forecast minus total actual as a share of actual. Positive indicates over-forecasting.</w:t>
            </w:r>
          </w:p>
        </w:tc>
      </w:tr>
    </w:tbl>
    <w:p>
      <w:pPr>
        <w:spacing w:after="0" w:before="0" w:line="276"/>
      </w:pPr>
      <w:r>
        <w:rPr>
          <w:rFonts w:ascii="Calibri" w:cs="Calibri" w:eastAsia="Calibri" w:hAnsi="Calibri"/>
          <w:color w:val="1A1A1A"/>
          <w:sz w:val="21"/>
          <w:szCs w:val="21"/>
        </w:rPr>
        <w:t xml:space="preserve"/>
      </w:r>
    </w:p>
    <w:p>
      <w:pPr>
        <w:shd w:fill="F7F9FB" w:color="auto" w:val="clear"/>
        <w:spacing w:after="0" w:before="100" w:line="276"/>
      </w:pPr>
      <w:r>
        <w:rPr>
          <w:rFonts w:ascii="Calibri" w:cs="Calibri" w:eastAsia="Calibri" w:hAnsi="Calibri"/>
          <w:b/>
          <w:bCs/>
          <w:color w:val="0B3C5D"/>
          <w:sz w:val="21"/>
          <w:szCs w:val="21"/>
        </w:rPr>
        <w:t xml:space="preserve">A metric deliberately not claimed</w:t>
      </w:r>
    </w:p>
    <w:p>
      <w:pPr>
        <w:shd w:fill="F7F9FB" w:color="auto" w:val="clear"/>
        <w:spacing w:after="160" w:before="0" w:line="276"/>
      </w:pPr>
      <w:r>
        <w:rPr>
          <w:rFonts w:ascii="Calibri" w:cs="Calibri" w:eastAsia="Calibri" w:hAnsi="Calibri"/>
          <w:color w:val="1A1A1A"/>
          <w:sz w:val="21"/>
          <w:szCs w:val="21"/>
        </w:rPr>
        <w:t xml:space="preserve">The official M5 WRMSSE aggregate is not implemented, so the name is never used. An automated test scans the entire codebase to ensure no component claims it.</w:t>
      </w:r>
    </w:p>
    <w:p>
      <w:r>
        <w:br w:type="page"/>
      </w:r>
    </w:p>
    <w:p>
      <w:pPr>
        <w:pStyle w:val="Heading1"/>
        <w:spacing w:after="160" w:before="360"/>
      </w:pPr>
      <w:r>
        <w:rPr>
          <w:rFonts w:ascii="Calibri" w:cs="Calibri" w:eastAsia="Calibri" w:hAnsi="Calibri"/>
          <w:b/>
          <w:bCs/>
          <w:color w:val="0B3C5D"/>
          <w:sz w:val="30"/>
          <w:szCs w:val="30"/>
        </w:rPr>
        <w:t xml:space="preserve">6. Measured Results</w:t>
      </w:r>
    </w:p>
    <w:p>
      <w:pPr>
        <w:spacing w:after="120" w:before="0" w:line="276"/>
      </w:pPr>
      <w:r>
        <w:rPr>
          <w:rFonts w:ascii="Calibri" w:cs="Calibri" w:eastAsia="Calibri" w:hAnsi="Calibri"/>
          <w:color w:val="1A1A1A"/>
          <w:sz w:val="21"/>
          <w:szCs w:val="21"/>
        </w:rPr>
        <w:t xml:space="preserve">All figures below come from the held-out window 2016-04-25 to 2016-05-22, which was excluded from training entirely and opened once after the feature set had been chosen.</w:t>
      </w:r>
    </w:p>
    <w:p>
      <w:pPr>
        <w:pStyle w:val="Heading2"/>
        <w:spacing w:after="120" w:before="260"/>
      </w:pPr>
      <w:r>
        <w:rPr>
          <w:rFonts w:ascii="Calibri" w:cs="Calibri" w:eastAsia="Calibri" w:hAnsi="Calibri"/>
          <w:b/>
          <w:bCs/>
          <w:color w:val="0F766E"/>
          <w:sz w:val="24"/>
          <w:szCs w:val="24"/>
        </w:rPr>
        <w:t xml:space="preserve">6.1 Model comparison</w:t>
      </w:r>
    </w:p>
    <w:tbl>
      <w:tblPr>
        <w:tblW w:type="dxa" w:w="9360"/>
        <w:tblBorders>
          <w:top w:val="single" w:color="C9D2DB" w:sz="2"/>
          <w:left w:val="none"/>
          <w:bottom w:val="single" w:color="C9D2DB" w:sz="2"/>
          <w:right w:val="none"/>
          <w:insideH w:val="single" w:color="DCE3EA" w:sz="1"/>
          <w:insideV w:val="none"/>
        </w:tblBorders>
      </w:tblPr>
      <w:tblGrid>
        <w:gridCol w:w="2460"/>
        <w:gridCol w:w="1180"/>
        <w:gridCol w:w="1180"/>
        <w:gridCol w:w="1130"/>
        <w:gridCol w:w="1130"/>
        <w:gridCol w:w="1130"/>
        <w:gridCol w:w="1150"/>
      </w:tblGrid>
      <w:tr>
        <w:trPr>
          <w:tblHeader/>
        </w:trPr>
        <w:tc>
          <w:tcPr>
            <w:tcW w:type="dxa" w:w="246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Model</w:t>
            </w:r>
          </w:p>
        </w:tc>
        <w:tc>
          <w:tcPr>
            <w:tcW w:type="dxa" w:w="118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WAPE</w:t>
            </w:r>
          </w:p>
        </w:tc>
        <w:tc>
          <w:tcPr>
            <w:tcW w:type="dxa" w:w="118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RMSSE</w:t>
            </w:r>
          </w:p>
        </w:tc>
        <w:tc>
          <w:tcPr>
            <w:tcW w:type="dxa" w:w="113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MAE</w:t>
            </w:r>
          </w:p>
        </w:tc>
        <w:tc>
          <w:tcPr>
            <w:tcW w:type="dxa" w:w="113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RMSE</w:t>
            </w:r>
          </w:p>
        </w:tc>
        <w:tc>
          <w:tcPr>
            <w:tcW w:type="dxa" w:w="113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Bias</w:t>
            </w:r>
          </w:p>
        </w:tc>
        <w:tc>
          <w:tcPr>
            <w:tcW w:type="dxa" w:w="115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sMAPE</w:t>
            </w:r>
          </w:p>
        </w:tc>
      </w:tr>
      <w:tr>
        <w:tc>
          <w:tcPr>
            <w:tcW w:type="dxa" w:w="24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LightGBM (set B)</w:t>
            </w:r>
          </w:p>
        </w:tc>
        <w:tc>
          <w:tcPr>
            <w:tcW w:type="dxa" w:w="1180"/>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0.7305</w:t>
            </w:r>
          </w:p>
        </w:tc>
        <w:tc>
          <w:tcPr>
            <w:tcW w:type="dxa" w:w="1180"/>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0.7606</w:t>
            </w:r>
          </w:p>
        </w:tc>
        <w:tc>
          <w:tcPr>
            <w:tcW w:type="dxa" w:w="1130"/>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1.0540</w:t>
            </w:r>
          </w:p>
        </w:tc>
        <w:tc>
          <w:tcPr>
            <w:tcW w:type="dxa" w:w="1130"/>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2.1941</w:t>
            </w:r>
          </w:p>
        </w:tc>
        <w:tc>
          <w:tcPr>
            <w:tcW w:type="dxa" w:w="1130"/>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-0.0762</w:t>
            </w:r>
          </w:p>
        </w:tc>
        <w:tc>
          <w:tcPr>
            <w:tcW w:type="dxa" w:w="1150"/>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140.3</w:t>
            </w:r>
          </w:p>
        </w:tc>
      </w:tr>
      <w:tr>
        <w:tc>
          <w:tcPr>
            <w:tcW w:type="dxa" w:w="246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Seasonal naive (lag 7)</w:t>
            </w:r>
          </w:p>
        </w:tc>
        <w:tc>
          <w:tcPr>
            <w:tcW w:type="dxa" w:w="118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0.8622</w:t>
            </w:r>
          </w:p>
        </w:tc>
        <w:tc>
          <w:tcPr>
            <w:tcW w:type="dxa" w:w="118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0.9976</w:t>
            </w:r>
          </w:p>
        </w:tc>
        <w:tc>
          <w:tcPr>
            <w:tcW w:type="dxa" w:w="113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1.2440</w:t>
            </w:r>
          </w:p>
        </w:tc>
        <w:tc>
          <w:tcPr>
            <w:tcW w:type="dxa" w:w="113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2.6769</w:t>
            </w:r>
          </w:p>
        </w:tc>
        <w:tc>
          <w:tcPr>
            <w:tcW w:type="dxa" w:w="113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-0.0736</w:t>
            </w:r>
          </w:p>
        </w:tc>
        <w:tc>
          <w:tcPr>
            <w:tcW w:type="dxa" w:w="115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83.1</w:t>
            </w:r>
          </w:p>
        </w:tc>
      </w:tr>
      <w:tr>
        <w:tc>
          <w:tcPr>
            <w:tcW w:type="dxa" w:w="246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Seasonal naive (lag 28)</w:t>
            </w:r>
          </w:p>
        </w:tc>
        <w:tc>
          <w:tcPr>
            <w:tcW w:type="dxa" w:w="118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0.8900</w:t>
            </w:r>
          </w:p>
        </w:tc>
        <w:tc>
          <w:tcPr>
            <w:tcW w:type="dxa" w:w="118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1.0338</w:t>
            </w:r>
          </w:p>
        </w:tc>
        <w:tc>
          <w:tcPr>
            <w:tcW w:type="dxa" w:w="113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1.2840</w:t>
            </w:r>
          </w:p>
        </w:tc>
        <w:tc>
          <w:tcPr>
            <w:tcW w:type="dxa" w:w="113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2.8292</w:t>
            </w:r>
          </w:p>
        </w:tc>
        <w:tc>
          <w:tcPr>
            <w:tcW w:type="dxa" w:w="113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-0.0391</w:t>
            </w:r>
          </w:p>
        </w:tc>
        <w:tc>
          <w:tcPr>
            <w:tcW w:type="dxa" w:w="115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84.0</w:t>
            </w:r>
          </w:p>
        </w:tc>
      </w:tr>
      <w:tr>
        <w:tc>
          <w:tcPr>
            <w:tcW w:type="dxa" w:w="246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Naive (last observed day)</w:t>
            </w:r>
          </w:p>
        </w:tc>
        <w:tc>
          <w:tcPr>
            <w:tcW w:type="dxa" w:w="118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0.9516</w:t>
            </w:r>
          </w:p>
        </w:tc>
        <w:tc>
          <w:tcPr>
            <w:tcW w:type="dxa" w:w="118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1.0017</w:t>
            </w:r>
          </w:p>
        </w:tc>
        <w:tc>
          <w:tcPr>
            <w:tcW w:type="dxa" w:w="113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1.3730</w:t>
            </w:r>
          </w:p>
        </w:tc>
        <w:tc>
          <w:tcPr>
            <w:tcW w:type="dxa" w:w="113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2.8936</w:t>
            </w:r>
          </w:p>
        </w:tc>
        <w:tc>
          <w:tcPr>
            <w:tcW w:type="dxa" w:w="113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0.1319</w:t>
            </w:r>
          </w:p>
        </w:tc>
        <w:tc>
          <w:tcPr>
            <w:tcW w:type="dxa" w:w="115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85.7</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LightGBM reduces WAPE by </w:t>
      </w:r>
      <w:r>
        <w:rPr>
          <w:rFonts w:ascii="Calibri" w:cs="Calibri" w:eastAsia="Calibri" w:hAnsi="Calibri"/>
          <w:b/>
          <w:bCs/>
          <w:color w:val="1A1A1A"/>
          <w:sz w:val="21"/>
          <w:szCs w:val="21"/>
        </w:rPr>
        <w:t xml:space="preserve">17.9%</w:t>
      </w:r>
      <w:r>
        <w:rPr>
          <w:rFonts w:ascii="Calibri" w:cs="Calibri" w:eastAsia="Calibri" w:hAnsi="Calibri"/>
          <w:color w:val="1A1A1A"/>
          <w:sz w:val="21"/>
          <w:szCs w:val="21"/>
        </w:rPr>
        <w:t xml:space="preserve"> against seasonal-naive at lag 28, the benchmark that forecasts from the same 28-day-old information. Its RMSSE of </w:t>
      </w:r>
      <w:r>
        <w:rPr>
          <w:rFonts w:ascii="Calibri" w:cs="Calibri" w:eastAsia="Calibri" w:hAnsi="Calibri"/>
          <w:b/>
          <w:bCs/>
          <w:color w:val="1A1A1A"/>
          <w:sz w:val="21"/>
          <w:szCs w:val="21"/>
        </w:rPr>
        <w:t xml:space="preserve">0.7606</w:t>
      </w:r>
      <w:r>
        <w:rPr>
          <w:rFonts w:ascii="Calibri" w:cs="Calibri" w:eastAsia="Calibri" w:hAnsi="Calibri"/>
          <w:color w:val="1A1A1A"/>
          <w:sz w:val="21"/>
          <w:szCs w:val="21"/>
        </w:rPr>
        <w:t xml:space="preserve"> is below 1.0, meaning it also beats a one-day naive forecast measured against each series' own training history.</w:t>
      </w:r>
    </w:p>
    <w:p>
      <w:pPr>
        <w:spacing w:after="120" w:before="0" w:line="276"/>
      </w:pPr>
      <w:r>
        <w:rPr>
          <w:rFonts w:ascii="Calibri" w:cs="Calibri" w:eastAsia="Calibri" w:hAnsi="Calibri"/>
          <w:color w:val="1A1A1A"/>
          <w:sz w:val="21"/>
          <w:szCs w:val="21"/>
        </w:rPr>
        <w:t xml:space="preserve">The sMAPE column illustrates why metric choice matters on intermittent demand. The naive models score better on sMAPE precisely because they predict exact zeros, which are scored as perfect on the majority of days. WAPE and RMSSE are the trustworthy comparisons, and the application labels sMAPE accordingly wherever it appears.</w:t>
      </w:r>
    </w:p>
    <w:p>
      <w:pPr>
        <w:pStyle w:val="Heading2"/>
        <w:spacing w:after="120" w:before="260"/>
      </w:pPr>
      <w:r>
        <w:rPr>
          <w:rFonts w:ascii="Calibri" w:cs="Calibri" w:eastAsia="Calibri" w:hAnsi="Calibri"/>
          <w:b/>
          <w:bCs/>
          <w:color w:val="0F766E"/>
          <w:sz w:val="24"/>
          <w:szCs w:val="24"/>
        </w:rPr>
        <w:t xml:space="preserve">6.2 Accuracy by forecast horizon</w:t>
      </w:r>
    </w:p>
    <w:tbl>
      <w:tblPr>
        <w:tblW w:type="dxa" w:w="9360"/>
        <w:tblBorders>
          <w:top w:val="single" w:color="C9D2DB" w:sz="2"/>
          <w:left w:val="none"/>
          <w:bottom w:val="single" w:color="C9D2DB" w:sz="2"/>
          <w:right w:val="none"/>
          <w:insideH w:val="single" w:color="DCE3EA" w:sz="1"/>
          <w:insideV w:val="none"/>
        </w:tblBorders>
      </w:tblPr>
      <w:tblGrid>
        <w:gridCol w:w="2360"/>
        <w:gridCol w:w="2333"/>
        <w:gridCol w:w="2333"/>
        <w:gridCol w:w="2334"/>
      </w:tblGrid>
      <w:tr>
        <w:trPr>
          <w:tblHeader/>
        </w:trPr>
        <w:tc>
          <w:tcPr>
            <w:tcW w:type="dxa" w:w="236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Horizon</w:t>
            </w:r>
          </w:p>
        </w:tc>
        <w:tc>
          <w:tcPr>
            <w:tcW w:type="dxa" w:w="2333"/>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WAPE</w:t>
            </w:r>
          </w:p>
        </w:tc>
        <w:tc>
          <w:tcPr>
            <w:tcW w:type="dxa" w:w="2333"/>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RMSSE</w:t>
            </w:r>
          </w:p>
        </w:tc>
        <w:tc>
          <w:tcPr>
            <w:tcW w:type="dxa" w:w="2334"/>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Bias</w:t>
            </w:r>
          </w:p>
        </w:tc>
      </w:tr>
      <w:tr>
        <w:tc>
          <w:tcPr>
            <w:tcW w:type="dxa" w:w="2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7 days</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0.7436</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0.6848</w:t>
            </w:r>
          </w:p>
        </w:tc>
        <w:tc>
          <w:tcPr>
            <w:tcW w:type="dxa" w:w="2334"/>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-0.0532</w:t>
            </w:r>
          </w:p>
        </w:tc>
      </w:tr>
      <w:tr>
        <w:tc>
          <w:tcPr>
            <w:tcW w:type="dxa" w:w="2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14 days</w:t>
            </w:r>
          </w:p>
        </w:tc>
        <w:tc>
          <w:tcPr>
            <w:tcW w:type="dxa" w:w="2333"/>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0.7397</w:t>
            </w:r>
          </w:p>
        </w:tc>
        <w:tc>
          <w:tcPr>
            <w:tcW w:type="dxa" w:w="2333"/>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0.7274</w:t>
            </w:r>
          </w:p>
        </w:tc>
        <w:tc>
          <w:tcPr>
            <w:tcW w:type="dxa" w:w="2334"/>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-0.0527</w:t>
            </w:r>
          </w:p>
        </w:tc>
      </w:tr>
      <w:tr>
        <w:tc>
          <w:tcPr>
            <w:tcW w:type="dxa" w:w="2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28 days</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0.7305</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0.7606</w:t>
            </w:r>
          </w:p>
        </w:tc>
        <w:tc>
          <w:tcPr>
            <w:tcW w:type="dxa" w:w="2334"/>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-0.0762</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6.3 Prediction intervals</w:t>
      </w:r>
    </w:p>
    <w:p>
      <w:pPr>
        <w:spacing w:after="120" w:before="0" w:line="276"/>
      </w:pPr>
      <w:r>
        <w:rPr>
          <w:rFonts w:ascii="Calibri" w:cs="Calibri" w:eastAsia="Calibri" w:hAnsi="Calibri"/>
          <w:color w:val="1A1A1A"/>
          <w:sz w:val="21"/>
          <w:szCs w:val="21"/>
        </w:rPr>
        <w:t xml:space="preserve">Uncertainty is expressed as empirical P10-P90 intervals built from out-of-sample residuals, grouped by store, category and forecast level, with fallback tiers for sparse groups. Coverage is measured on the untouched holdout and reported whatever the outcome.</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Interval property</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Measured</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Design target</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80%</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Empirical coverage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79.6%</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Actuals below P10</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Actuals above P90</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10.7%</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Evaluation points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853,624</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Coverage of 79.6% against an 80% design target, with the two tails balanced at 9.7% and 10.7%, indicates well-calibrated intervals at scale.</w:t>
      </w:r>
    </w:p>
    <w:p>
      <w:pPr>
        <w:pStyle w:val="Heading2"/>
        <w:spacing w:after="120" w:before="260"/>
      </w:pPr>
      <w:r>
        <w:rPr>
          <w:rFonts w:ascii="Calibri" w:cs="Calibri" w:eastAsia="Calibri" w:hAnsi="Calibri"/>
          <w:b/>
          <w:bCs/>
          <w:color w:val="0F766E"/>
          <w:sz w:val="24"/>
          <w:szCs w:val="24"/>
        </w:rPr>
        <w:t xml:space="preserve">6.4 Feature attribution</w:t>
      </w:r>
    </w:p>
    <w:p>
      <w:pPr>
        <w:spacing w:after="120" w:before="0" w:line="276"/>
      </w:pPr>
      <w:r>
        <w:rPr>
          <w:rFonts w:ascii="Calibri" w:cs="Calibri" w:eastAsia="Calibri" w:hAnsi="Calibri"/>
          <w:color w:val="1A1A1A"/>
          <w:sz w:val="21"/>
          <w:szCs w:val="21"/>
        </w:rPr>
        <w:t xml:space="preserve">Attribution uses exact TreeSHAP values computed natively by LightGBM. The optional shap package is not required and its absence changes nothing about what is shown.</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Feature family</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Share of model gain</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Demand history</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87.79%</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Product / store identity</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9.17%</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Calendar and events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1.87%</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Price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1.17%</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The top individual drivers by gain are roll_mean_56, roll_mean_28, item_id, roll_std_56, roll_mean_7. Recent demand history dominates, which is the expected and correct outcome for short-horizon retail forecasting. Attribution measures reliance, not direction: the values are unsigned, and the application states this rather than asserting a direction the artifacts cannot support.</w:t>
      </w:r>
    </w:p>
    <w:p>
      <w:r>
        <w:br w:type="page"/>
      </w:r>
    </w:p>
    <w:p>
      <w:pPr>
        <w:pStyle w:val="Heading1"/>
        <w:spacing w:after="160" w:before="360"/>
      </w:pPr>
      <w:r>
        <w:rPr>
          <w:rFonts w:ascii="Calibri" w:cs="Calibri" w:eastAsia="Calibri" w:hAnsi="Calibri"/>
          <w:b/>
          <w:bCs/>
          <w:color w:val="0B3C5D"/>
          <w:sz w:val="30"/>
          <w:szCs w:val="30"/>
        </w:rPr>
        <w:t xml:space="preserve">7. Ablation Study: Do External Signals Help?</w:t>
      </w:r>
    </w:p>
    <w:p>
      <w:pPr>
        <w:spacing w:after="120" w:before="0" w:line="276"/>
      </w:pPr>
      <w:r>
        <w:rPr>
          <w:rFonts w:ascii="Calibri" w:cs="Calibri" w:eastAsia="Calibri" w:hAnsi="Calibri"/>
          <w:color w:val="1A1A1A"/>
          <w:sz w:val="21"/>
          <w:szCs w:val="21"/>
        </w:rPr>
        <w:t xml:space="preserve">This is the study the project was designed around. Four cumulative feature sets were evaluated across identical rolling-origin folds with the same seed, parameters, training rows and eligible series. The only difference between arms is which features are present.</w:t>
      </w:r>
    </w:p>
    <w:p>
      <w:pPr>
        <w:pStyle w:val="Heading2"/>
        <w:spacing w:after="120" w:before="260"/>
      </w:pPr>
      <w:r>
        <w:rPr>
          <w:rFonts w:ascii="Calibri" w:cs="Calibri" w:eastAsia="Calibri" w:hAnsi="Calibri"/>
          <w:b/>
          <w:bCs/>
          <w:color w:val="0F766E"/>
          <w:sz w:val="24"/>
          <w:szCs w:val="24"/>
        </w:rPr>
        <w:t xml:space="preserve">7.1 Arms</w:t>
      </w:r>
    </w:p>
    <w:tbl>
      <w:tblPr>
        <w:tblW w:type="dxa" w:w="9360"/>
        <w:tblBorders>
          <w:top w:val="single" w:color="C9D2DB" w:sz="2"/>
          <w:left w:val="none"/>
          <w:bottom w:val="single" w:color="C9D2DB" w:sz="2"/>
          <w:right w:val="none"/>
          <w:insideH w:val="single" w:color="DCE3EA" w:sz="1"/>
          <w:insideV w:val="none"/>
        </w:tblBorders>
      </w:tblPr>
      <w:tblGrid>
        <w:gridCol w:w="1200"/>
        <w:gridCol w:w="6160"/>
        <w:gridCol w:w="2000"/>
      </w:tblGrid>
      <w:tr>
        <w:trPr>
          <w:tblHeader/>
        </w:trPr>
        <w:tc>
          <w:tcPr>
            <w:tcW w:type="dxa" w:w="12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Arm</w:t>
            </w:r>
          </w:p>
        </w:tc>
        <w:tc>
          <w:tcPr>
            <w:tcW w:type="dxa" w:w="61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Feature set</w:t>
            </w:r>
          </w:p>
        </w:tc>
        <w:tc>
          <w:tcPr>
            <w:tcW w:type="dxa" w:w="20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Features</w:t>
            </w:r>
          </w:p>
        </w:tc>
      </w:tr>
      <w:tr>
        <w:tc>
          <w:tcPr>
            <w:tcW w:type="dxa" w:w="12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w:t>
            </w:r>
          </w:p>
        </w:tc>
        <w:tc>
          <w:tcPr>
            <w:tcW w:type="dxa" w:w="61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Demand history and identity only</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w:t>
            </w:r>
          </w:p>
        </w:tc>
      </w:tr>
      <w:tr>
        <w:tc>
          <w:tcPr>
            <w:tcW w:type="dxa" w:w="12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B</w:t>
            </w:r>
          </w:p>
        </w:tc>
        <w:tc>
          <w:tcPr>
            <w:tcW w:type="dxa" w:w="61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Plus calendar and price</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w:t>
            </w:r>
          </w:p>
        </w:tc>
      </w:tr>
      <w:tr>
        <w:tc>
          <w:tcPr>
            <w:tcW w:type="dxa" w:w="12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w:t>
            </w:r>
          </w:p>
        </w:tc>
        <w:tc>
          <w:tcPr>
            <w:tcW w:type="dxa" w:w="61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Plus FEMA disaster context</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43</w:t>
            </w:r>
          </w:p>
        </w:tc>
      </w:tr>
      <w:tr>
        <w:tc>
          <w:tcPr>
            <w:tcW w:type="dxa" w:w="12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w:t>
            </w:r>
          </w:p>
        </w:tc>
        <w:tc>
          <w:tcPr>
            <w:tcW w:type="dxa" w:w="61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Plus FRED economic context</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47</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7.2 Results</w:t>
      </w:r>
    </w:p>
    <w:p>
      <w:pPr>
        <w:spacing w:after="120" w:before="0" w:line="276"/>
      </w:pPr>
      <w:r>
        <w:rPr>
          <w:rFonts w:ascii="Calibri" w:cs="Calibri" w:eastAsia="Calibri" w:hAnsi="Calibri"/>
          <w:color w:val="1A1A1A"/>
          <w:sz w:val="21"/>
          <w:szCs w:val="21"/>
        </w:rPr>
        <w:t xml:space="preserve">Mean across folds F1 to F3 at the 28-day horizon.</w:t>
      </w:r>
    </w:p>
    <w:tbl>
      <w:tblPr>
        <w:tblW w:type="dxa" w:w="9360"/>
        <w:tblBorders>
          <w:top w:val="single" w:color="C9D2DB" w:sz="2"/>
          <w:left w:val="none"/>
          <w:bottom w:val="single" w:color="C9D2DB" w:sz="2"/>
          <w:right w:val="none"/>
          <w:insideH w:val="single" w:color="DCE3EA" w:sz="1"/>
          <w:insideV w:val="none"/>
        </w:tblBorders>
      </w:tblPr>
      <w:tblGrid>
        <w:gridCol w:w="1360"/>
        <w:gridCol w:w="2000"/>
        <w:gridCol w:w="2400"/>
        <w:gridCol w:w="1800"/>
        <w:gridCol w:w="1800"/>
      </w:tblGrid>
      <w:tr>
        <w:trPr>
          <w:tblHeader/>
        </w:trPr>
        <w:tc>
          <w:tcPr>
            <w:tcW w:type="dxa" w:w="136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Arm</w:t>
            </w:r>
          </w:p>
        </w:tc>
        <w:tc>
          <w:tcPr>
            <w:tcW w:type="dxa" w:w="20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WAPE</w:t>
            </w:r>
          </w:p>
        </w:tc>
        <w:tc>
          <w:tcPr>
            <w:tcW w:type="dxa" w:w="24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SD across folds</w:t>
            </w:r>
          </w:p>
        </w:tc>
        <w:tc>
          <w:tcPr>
            <w:tcW w:type="dxa" w:w="18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RMSSE</w:t>
            </w:r>
          </w:p>
        </w:tc>
        <w:tc>
          <w:tcPr>
            <w:tcW w:type="dxa" w:w="18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Bias</w:t>
            </w:r>
          </w:p>
        </w:tc>
      </w:tr>
      <w:tr>
        <w:tc>
          <w:tcPr>
            <w:tcW w:type="dxa" w:w="1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0.7752</w:t>
            </w:r>
          </w:p>
        </w:tc>
        <w:tc>
          <w:tcPr>
            <w:tcW w:type="dxa" w:w="2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0.0078</w:t>
            </w:r>
          </w:p>
        </w:tc>
        <w:tc>
          <w:tcPr>
            <w:tcW w:type="dxa" w:w="1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0.7480</w:t>
            </w:r>
          </w:p>
        </w:tc>
        <w:tc>
          <w:tcPr>
            <w:tcW w:type="dxa" w:w="1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-0.0581</w:t>
            </w:r>
          </w:p>
        </w:tc>
      </w:tr>
      <w:tr>
        <w:tc>
          <w:tcPr>
            <w:tcW w:type="dxa" w:w="1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B</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0.7635</w:t>
            </w:r>
          </w:p>
        </w:tc>
        <w:tc>
          <w:tcPr>
            <w:tcW w:type="dxa" w:w="24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0.0087</w:t>
            </w:r>
          </w:p>
        </w:tc>
        <w:tc>
          <w:tcPr>
            <w:tcW w:type="dxa" w:w="1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0.7393</w:t>
            </w:r>
          </w:p>
        </w:tc>
        <w:tc>
          <w:tcPr>
            <w:tcW w:type="dxa" w:w="1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-0.0437</w:t>
            </w:r>
          </w:p>
        </w:tc>
      </w:tr>
      <w:tr>
        <w:tc>
          <w:tcPr>
            <w:tcW w:type="dxa" w:w="1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0.7632</w:t>
            </w:r>
          </w:p>
        </w:tc>
        <w:tc>
          <w:tcPr>
            <w:tcW w:type="dxa" w:w="2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0.0100</w:t>
            </w:r>
          </w:p>
        </w:tc>
        <w:tc>
          <w:tcPr>
            <w:tcW w:type="dxa" w:w="1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0.7390</w:t>
            </w:r>
          </w:p>
        </w:tc>
        <w:tc>
          <w:tcPr>
            <w:tcW w:type="dxa" w:w="1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-0.0423</w:t>
            </w:r>
          </w:p>
        </w:tc>
      </w:tr>
      <w:tr>
        <w:tc>
          <w:tcPr>
            <w:tcW w:type="dxa" w:w="1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0.7633</w:t>
            </w:r>
          </w:p>
        </w:tc>
        <w:tc>
          <w:tcPr>
            <w:tcW w:type="dxa" w:w="24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0.0100</w:t>
            </w:r>
          </w:p>
        </w:tc>
        <w:tc>
          <w:tcPr>
            <w:tcW w:type="dxa" w:w="1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0.7386</w:t>
            </w:r>
          </w:p>
        </w:tc>
        <w:tc>
          <w:tcPr>
            <w:tcW w:type="dxa" w:w="1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-0.0348</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7.3 Per-fold detail</w:t>
      </w:r>
    </w:p>
    <w:p>
      <w:pPr>
        <w:spacing w:after="120" w:before="0" w:line="276"/>
      </w:pPr>
      <w:r>
        <w:rPr>
          <w:rFonts w:ascii="Calibri" w:cs="Calibri" w:eastAsia="Calibri" w:hAnsi="Calibri"/>
          <w:color w:val="1A1A1A"/>
          <w:sz w:val="21"/>
          <w:szCs w:val="21"/>
        </w:rPr>
        <w:t xml:space="preserve">Fold-level results show whether a difference between arms is consistent or simply noise.</w:t>
      </w:r>
    </w:p>
    <w:tbl>
      <w:tblPr>
        <w:tblW w:type="dxa" w:w="9360"/>
        <w:tblBorders>
          <w:top w:val="single" w:color="C9D2DB" w:sz="2"/>
          <w:left w:val="none"/>
          <w:bottom w:val="single" w:color="C9D2DB" w:sz="2"/>
          <w:right w:val="none"/>
          <w:insideH w:val="single" w:color="DCE3EA" w:sz="1"/>
          <w:insideV w:val="none"/>
        </w:tblBorders>
      </w:tblPr>
      <w:tblGrid>
        <w:gridCol w:w="2360"/>
        <w:gridCol w:w="2333"/>
        <w:gridCol w:w="2333"/>
        <w:gridCol w:w="2334"/>
      </w:tblGrid>
      <w:tr>
        <w:trPr>
          <w:tblHeader/>
        </w:trPr>
        <w:tc>
          <w:tcPr>
            <w:tcW w:type="dxa" w:w="236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Arm</w:t>
            </w:r>
          </w:p>
        </w:tc>
        <w:tc>
          <w:tcPr>
            <w:tcW w:type="dxa" w:w="2333"/>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F1</w:t>
            </w:r>
          </w:p>
        </w:tc>
        <w:tc>
          <w:tcPr>
            <w:tcW w:type="dxa" w:w="2333"/>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F2</w:t>
            </w:r>
          </w:p>
        </w:tc>
        <w:tc>
          <w:tcPr>
            <w:tcW w:type="dxa" w:w="2334"/>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F3</w:t>
            </w:r>
          </w:p>
        </w:tc>
      </w:tr>
      <w:tr>
        <w:tc>
          <w:tcPr>
            <w:tcW w:type="dxa" w:w="2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0.7825</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0.7763</w:t>
            </w:r>
          </w:p>
        </w:tc>
        <w:tc>
          <w:tcPr>
            <w:tcW w:type="dxa" w:w="2334"/>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0.7669</w:t>
            </w:r>
          </w:p>
        </w:tc>
      </w:tr>
      <w:tr>
        <w:tc>
          <w:tcPr>
            <w:tcW w:type="dxa" w:w="2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B</w:t>
            </w:r>
          </w:p>
        </w:tc>
        <w:tc>
          <w:tcPr>
            <w:tcW w:type="dxa" w:w="2333"/>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0.7673</w:t>
            </w:r>
          </w:p>
        </w:tc>
        <w:tc>
          <w:tcPr>
            <w:tcW w:type="dxa" w:w="2333"/>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0.7697</w:t>
            </w:r>
          </w:p>
        </w:tc>
        <w:tc>
          <w:tcPr>
            <w:tcW w:type="dxa" w:w="2334"/>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0.7536</w:t>
            </w:r>
          </w:p>
        </w:tc>
      </w:tr>
      <w:tr>
        <w:tc>
          <w:tcPr>
            <w:tcW w:type="dxa" w:w="2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0.7680</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0.7698</w:t>
            </w:r>
          </w:p>
        </w:tc>
        <w:tc>
          <w:tcPr>
            <w:tcW w:type="dxa" w:w="2334"/>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0.7517</w:t>
            </w:r>
          </w:p>
        </w:tc>
      </w:tr>
      <w:tr>
        <w:tc>
          <w:tcPr>
            <w:tcW w:type="dxa" w:w="2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w:t>
            </w:r>
          </w:p>
        </w:tc>
        <w:tc>
          <w:tcPr>
            <w:tcW w:type="dxa" w:w="2333"/>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0.7684</w:t>
            </w:r>
          </w:p>
        </w:tc>
        <w:tc>
          <w:tcPr>
            <w:tcW w:type="dxa" w:w="2333"/>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0.7696</w:t>
            </w:r>
          </w:p>
        </w:tc>
        <w:tc>
          <w:tcPr>
            <w:tcW w:type="dxa" w:w="2334"/>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0.7518</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7.4 Verdict</w:t>
      </w:r>
    </w:p>
    <w:p>
      <w:pPr>
        <w:pStyle w:val="ListParagraph"/>
        <w:numPr>
          <w:ilvl w:val="0"/>
          <w:numId w:val="2"/>
        </w:numPr>
        <w:spacing w:after="70" w:line="276"/>
      </w:pPr>
      <w:r>
        <w:rPr>
          <w:rFonts w:ascii="Calibri" w:cs="Calibri" w:eastAsia="Calibri" w:hAnsi="Calibri"/>
          <w:b/>
          <w:bCs/>
          <w:color w:val="1A1A1A"/>
          <w:sz w:val="21"/>
          <w:szCs w:val="21"/>
        </w:rPr>
        <w:t xml:space="preserve">Calendar and price features improved accuracy. </w:t>
      </w:r>
      <w:r>
        <w:rPr>
          <w:rFonts w:ascii="Calibri" w:cs="Calibri" w:eastAsia="Calibri" w:hAnsi="Calibri"/>
          <w:color w:val="1A1A1A"/>
          <w:sz w:val="21"/>
          <w:szCs w:val="21"/>
        </w:rPr>
        <w:t xml:space="preserve">WAPE fell by 0.0117 (1.51% relative), consistently across folds. This is the one external addition that clearly earns its place.</w:t>
      </w:r>
    </w:p>
    <w:p>
      <w:pPr>
        <w:pStyle w:val="ListParagraph"/>
        <w:numPr>
          <w:ilvl w:val="0"/>
          <w:numId w:val="2"/>
        </w:numPr>
        <w:spacing w:after="70" w:line="276"/>
      </w:pPr>
      <w:r>
        <w:rPr>
          <w:rFonts w:ascii="Calibri" w:cs="Calibri" w:eastAsia="Calibri" w:hAnsi="Calibri"/>
          <w:b/>
          <w:bCs/>
          <w:color w:val="1A1A1A"/>
          <w:sz w:val="21"/>
          <w:szCs w:val="21"/>
        </w:rPr>
        <w:t xml:space="preserve">FEMA disaster context did not materially help. </w:t>
      </w:r>
      <w:r>
        <w:rPr>
          <w:rFonts w:ascii="Calibri" w:cs="Calibri" w:eastAsia="Calibri" w:hAnsi="Calibri"/>
          <w:color w:val="1A1A1A"/>
          <w:sz w:val="21"/>
          <w:szCs w:val="21"/>
        </w:rPr>
        <w:t xml:space="preserve">WAPE moved by 0.0003 (0.04% relative), which is far smaller than the 0.0087 fold-to-fold spread. A difference this small cannot be distinguished from noise.</w:t>
      </w:r>
    </w:p>
    <w:p>
      <w:pPr>
        <w:pStyle w:val="ListParagraph"/>
        <w:numPr>
          <w:ilvl w:val="0"/>
          <w:numId w:val="2"/>
        </w:numPr>
        <w:spacing w:after="70" w:line="276"/>
      </w:pPr>
      <w:r>
        <w:rPr>
          <w:rFonts w:ascii="Calibri" w:cs="Calibri" w:eastAsia="Calibri" w:hAnsi="Calibri"/>
          <w:b/>
          <w:bCs/>
          <w:color w:val="1A1A1A"/>
          <w:sz w:val="21"/>
          <w:szCs w:val="21"/>
        </w:rPr>
        <w:t xml:space="preserve">FRED economic context did not help. </w:t>
      </w:r>
      <w:r>
        <w:rPr>
          <w:rFonts w:ascii="Calibri" w:cs="Calibri" w:eastAsia="Calibri" w:hAnsi="Calibri"/>
          <w:color w:val="1A1A1A"/>
          <w:sz w:val="21"/>
          <w:szCs w:val="21"/>
        </w:rPr>
        <w:t xml:space="preserve">WAPE rose by 0.0001. Monthly state unemployment is too slow-moving to explain daily deviations in a 28-day horizon.</w:t>
      </w:r>
    </w:p>
    <w:p>
      <w:pPr>
        <w:pStyle w:val="ListParagraph"/>
        <w:numPr>
          <w:ilvl w:val="0"/>
          <w:numId w:val="2"/>
        </w:numPr>
        <w:spacing w:after="70" w:line="276"/>
      </w:pPr>
      <w:r>
        <w:rPr>
          <w:rFonts w:ascii="Calibri" w:cs="Calibri" w:eastAsia="Calibri" w:hAnsi="Calibri"/>
          <w:b/>
          <w:bCs/>
          <w:color w:val="1A1A1A"/>
          <w:sz w:val="21"/>
          <w:szCs w:val="21"/>
        </w:rPr>
        <w:t xml:space="preserve">Selection outcome. </w:t>
      </w:r>
      <w:r>
        <w:rPr>
          <w:rFonts w:ascii="Calibri" w:cs="Calibri" w:eastAsia="Calibri" w:hAnsi="Calibri"/>
          <w:color w:val="1A1A1A"/>
          <w:sz w:val="21"/>
          <w:szCs w:val="21"/>
        </w:rPr>
        <w:t xml:space="preserve">The mechanical rule chose the smallest feature set within 0.3% relative of the best mean WAPE, which is arm B. The simpler model was selected on the evidence, not on preference.</w:t>
      </w:r>
    </w:p>
    <w:p>
      <w:pPr>
        <w:spacing w:after="0" w:before="0" w:line="276"/>
      </w:pPr>
      <w:r>
        <w:rPr>
          <w:rFonts w:ascii="Calibri" w:cs="Calibri" w:eastAsia="Calibri" w:hAnsi="Calibri"/>
          <w:color w:val="1A1A1A"/>
          <w:sz w:val="21"/>
          <w:szCs w:val="21"/>
        </w:rPr>
        <w:t xml:space="preserve"/>
      </w:r>
    </w:p>
    <w:p>
      <w:pPr>
        <w:shd w:fill="F7F9FB" w:color="auto" w:val="clear"/>
        <w:spacing w:after="0" w:before="100" w:line="276"/>
      </w:pPr>
      <w:r>
        <w:rPr>
          <w:rFonts w:ascii="Calibri" w:cs="Calibri" w:eastAsia="Calibri" w:hAnsi="Calibri"/>
          <w:b/>
          <w:bCs/>
          <w:color w:val="0B3C5D"/>
          <w:sz w:val="21"/>
          <w:szCs w:val="21"/>
        </w:rPr>
        <w:t xml:space="preserve">Why the negative result is valuable</w:t>
      </w:r>
    </w:p>
    <w:p>
      <w:pPr>
        <w:shd w:fill="F7F9FB" w:color="auto" w:val="clear"/>
        <w:spacing w:after="160" w:before="0" w:line="276"/>
      </w:pPr>
      <w:r>
        <w:rPr>
          <w:rFonts w:ascii="Calibri" w:cs="Calibri" w:eastAsia="Calibri" w:hAnsi="Calibri"/>
          <w:color w:val="1A1A1A"/>
          <w:sz w:val="21"/>
          <w:szCs w:val="21"/>
        </w:rPr>
        <w:t xml:space="preserve">A common failure mode in applied data science is to add an interesting external dataset and then find a way to justify keeping it. This study measured the contribution under a fair protocol, found it immaterial, reported it in the application and in the generated results file, and let the selection rule act on it. The external sources are retained where they genuinely add value - as context for interpreting shocks - and not where they do not.</w:t>
      </w:r>
    </w:p>
    <w:p>
      <w:r>
        <w:br w:type="page"/>
      </w:r>
    </w:p>
    <w:p>
      <w:pPr>
        <w:pStyle w:val="Heading1"/>
        <w:spacing w:after="160" w:before="360"/>
      </w:pPr>
      <w:r>
        <w:rPr>
          <w:rFonts w:ascii="Calibri" w:cs="Calibri" w:eastAsia="Calibri" w:hAnsi="Calibri"/>
          <w:b/>
          <w:bCs/>
          <w:color w:val="0B3C5D"/>
          <w:sz w:val="30"/>
          <w:szCs w:val="30"/>
        </w:rPr>
        <w:t xml:space="preserve">8. Demand Shock Intelligence</w:t>
      </w:r>
    </w:p>
    <w:p>
      <w:pPr>
        <w:spacing w:after="120" w:before="0" w:line="276"/>
      </w:pPr>
      <w:r>
        <w:rPr>
          <w:rFonts w:ascii="Calibri" w:cs="Calibri" w:eastAsia="Calibri" w:hAnsi="Calibri"/>
          <w:color w:val="1A1A1A"/>
          <w:sz w:val="21"/>
          <w:szCs w:val="21"/>
        </w:rPr>
        <w:t xml:space="preserve">This module is the platform's distinguishing capability. A shock is not simply high demand. It is a day on which actual demand departed from what the model could reasonably have expected, in a way that is large relative to that series' own recent forecast error, and/or persistent, and/or accompanied by a change in volatility or demand level.</w:t>
      </w:r>
    </w:p>
    <w:p>
      <w:pPr>
        <w:pStyle w:val="Heading2"/>
        <w:spacing w:after="120" w:before="260"/>
      </w:pPr>
      <w:r>
        <w:rPr>
          <w:rFonts w:ascii="Calibri" w:cs="Calibri" w:eastAsia="Calibri" w:hAnsi="Calibri"/>
          <w:b/>
          <w:bCs/>
          <w:color w:val="0F766E"/>
          <w:sz w:val="24"/>
          <w:szCs w:val="24"/>
        </w:rPr>
        <w:t xml:space="preserve">8.1 Why the residuals come from a crisis-free model</w:t>
      </w:r>
    </w:p>
    <w:p>
      <w:pPr>
        <w:spacing w:after="120" w:before="0" w:line="276"/>
      </w:pPr>
      <w:r>
        <w:rPr>
          <w:rFonts w:ascii="Calibri" w:cs="Calibri" w:eastAsia="Calibri" w:hAnsi="Calibri"/>
          <w:color w:val="1A1A1A"/>
          <w:sz w:val="21"/>
          <w:szCs w:val="21"/>
        </w:rPr>
        <w:t xml:space="preserve">Shock residuals are taken from arm B, which contains no FEMA or FRED features. This is deliberate. If crisis features were in the model, crisis-driven deviations would be partly absorbed into the prediction and would disappear from the residual, blinding the detector to exactly what it exists to find. Keeping crisis signals out of the model keeps them in the residual.</w:t>
      </w:r>
    </w:p>
    <w:p>
      <w:pPr>
        <w:pStyle w:val="Heading2"/>
        <w:spacing w:after="120" w:before="260"/>
      </w:pPr>
      <w:r>
        <w:rPr>
          <w:rFonts w:ascii="Calibri" w:cs="Calibri" w:eastAsia="Calibri" w:hAnsi="Calibri"/>
          <w:b/>
          <w:bCs/>
          <w:color w:val="0F766E"/>
          <w:sz w:val="24"/>
          <w:szCs w:val="24"/>
        </w:rPr>
        <w:t xml:space="preserve">8.2 Score construction</w:t>
      </w:r>
    </w:p>
    <w:p>
      <w:pPr>
        <w:spacing w:after="120" w:before="0" w:line="276"/>
      </w:pPr>
      <w:r>
        <w:rPr>
          <w:rFonts w:ascii="Calibri" w:cs="Calibri" w:eastAsia="Calibri" w:hAnsi="Calibri"/>
          <w:color w:val="1A1A1A"/>
          <w:sz w:val="21"/>
          <w:szCs w:val="21"/>
        </w:rPr>
        <w:t xml:space="preserve">Five signals are each squashed to a 0-1 range by a piecewise-linear cap and then weighted to a score out of 100. Piecewise-linear functions were chosen over smooth ones so that every point of the score is attributable to a component and the arithmetic reconciles by hand in the explanation panel.</w:t>
      </w:r>
    </w:p>
    <w:tbl>
      <w:tblPr>
        <w:tblW w:type="dxa" w:w="9360"/>
        <w:tblBorders>
          <w:top w:val="single" w:color="C9D2DB" w:sz="2"/>
          <w:left w:val="none"/>
          <w:bottom w:val="single" w:color="C9D2DB" w:sz="2"/>
          <w:right w:val="none"/>
          <w:insideH w:val="single" w:color="DCE3EA" w:sz="1"/>
          <w:insideV w:val="none"/>
        </w:tblBorders>
      </w:tblPr>
      <w:tblGrid>
        <w:gridCol w:w="2400"/>
        <w:gridCol w:w="1000"/>
        <w:gridCol w:w="5960"/>
      </w:tblGrid>
      <w:tr>
        <w:trPr>
          <w:tblHeader/>
        </w:trPr>
        <w:tc>
          <w:tcPr>
            <w:tcW w:type="dxa" w:w="24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Signal</w:t>
            </w:r>
          </w:p>
        </w:tc>
        <w:tc>
          <w:tcPr>
            <w:tcW w:type="dxa" w:w="10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Weight</w:t>
            </w:r>
          </w:p>
        </w:tc>
        <w:tc>
          <w:tcPr>
            <w:tcW w:type="dxa" w:w="59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What it measures</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Standardised residual</w:t>
            </w:r>
          </w:p>
        </w:tc>
        <w:tc>
          <w:tcPr>
            <w:tcW w:type="dxa" w:w="1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w:t>
            </w:r>
          </w:p>
        </w:tc>
        <w:tc>
          <w:tcPr>
            <w:tcW w:type="dxa" w:w="5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Deviation relative to the series' own recent forecast error</w:t>
            </w:r>
          </w:p>
        </w:tc>
      </w:tr>
      <w:tr>
        <w:tc>
          <w:tcPr>
            <w:tcW w:type="dxa" w:w="24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Percentage deviation</w:t>
            </w:r>
          </w:p>
        </w:tc>
        <w:tc>
          <w:tcPr>
            <w:tcW w:type="dxa" w:w="1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w:t>
            </w:r>
          </w:p>
        </w:tc>
        <w:tc>
          <w:tcPr>
            <w:tcW w:type="dxa" w:w="59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Deviation relative to recent average demand</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Persistence</w:t>
            </w:r>
          </w:p>
        </w:tc>
        <w:tc>
          <w:tcPr>
            <w:tcW w:type="dxa" w:w="1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w:t>
            </w:r>
          </w:p>
        </w:tc>
        <w:tc>
          <w:tcPr>
            <w:tcW w:type="dxa" w:w="5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Consecutive days deviating in the same direction</w:t>
            </w:r>
          </w:p>
        </w:tc>
      </w:tr>
      <w:tr>
        <w:tc>
          <w:tcPr>
            <w:tcW w:type="dxa" w:w="24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Volatility ratio</w:t>
            </w:r>
          </w:p>
        </w:tc>
        <w:tc>
          <w:tcPr>
            <w:tcW w:type="dxa" w:w="1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w:t>
            </w:r>
          </w:p>
        </w:tc>
        <w:tc>
          <w:tcPr>
            <w:tcW w:type="dxa" w:w="59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Short-term error spread against the longer-term spread</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Level shift</w:t>
            </w:r>
          </w:p>
        </w:tc>
        <w:tc>
          <w:tcPr>
            <w:tcW w:type="dxa" w:w="1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15</w:t>
            </w:r>
          </w:p>
        </w:tc>
        <w:tc>
          <w:tcPr>
            <w:tcW w:type="dxa" w:w="5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Change in the demand level itself, not just the error</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8.3 Guards against false positives</w:t>
      </w:r>
    </w:p>
    <w:p>
      <w:pPr>
        <w:pStyle w:val="ListParagraph"/>
        <w:numPr>
          <w:ilvl w:val="0"/>
          <w:numId w:val="2"/>
        </w:numPr>
        <w:spacing w:after="70" w:line="276"/>
      </w:pPr>
      <w:r>
        <w:rPr>
          <w:rFonts w:ascii="Calibri" w:cs="Calibri" w:eastAsia="Calibri" w:hAnsi="Calibri"/>
          <w:color w:val="1A1A1A"/>
          <w:sz w:val="21"/>
          <w:szCs w:val="21"/>
        </w:rPr>
        <w:t xml:space="preserve">A low-volume damping multiplier, so a move from zero to two units on a slow-moving item cannot register as a crisis.</w:t>
      </w:r>
    </w:p>
    <w:p>
      <w:pPr>
        <w:pStyle w:val="ListParagraph"/>
        <w:numPr>
          <w:ilvl w:val="0"/>
          <w:numId w:val="2"/>
        </w:numPr>
        <w:spacing w:after="70" w:line="276"/>
      </w:pPr>
      <w:r>
        <w:rPr>
          <w:rFonts w:ascii="Calibri" w:cs="Calibri" w:eastAsia="Calibri" w:hAnsi="Calibri"/>
          <w:color w:val="1A1A1A"/>
          <w:sz w:val="21"/>
          <w:szCs w:val="21"/>
        </w:rPr>
        <w:t xml:space="preserve">A hard zero for a zero-sale day against a near-zero forecast.</w:t>
      </w:r>
    </w:p>
    <w:p>
      <w:pPr>
        <w:pStyle w:val="ListParagraph"/>
        <w:numPr>
          <w:ilvl w:val="0"/>
          <w:numId w:val="2"/>
        </w:numPr>
        <w:spacing w:after="70" w:line="276"/>
      </w:pPr>
      <w:r>
        <w:rPr>
          <w:rFonts w:ascii="Calibri" w:cs="Calibri" w:eastAsia="Calibri" w:hAnsi="Calibri"/>
          <w:color w:val="1A1A1A"/>
          <w:sz w:val="21"/>
          <w:szCs w:val="21"/>
        </w:rPr>
        <w:t xml:space="preserve">An eligibility gate excluding series with too little non-zero history or too few residual observations; excluded series are labelled rather than scored on noise.</w:t>
      </w:r>
    </w:p>
    <w:p>
      <w:pPr>
        <w:pStyle w:val="ListParagraph"/>
        <w:numPr>
          <w:ilvl w:val="0"/>
          <w:numId w:val="2"/>
        </w:numPr>
        <w:spacing w:after="70" w:line="276"/>
      </w:pPr>
      <w:r>
        <w:rPr>
          <w:rFonts w:ascii="Calibri" w:cs="Calibri" w:eastAsia="Calibri" w:hAnsi="Calibri"/>
          <w:color w:val="1A1A1A"/>
          <w:sz w:val="21"/>
          <w:szCs w:val="21"/>
        </w:rPr>
        <w:t xml:space="preserve">A warm-up cap for the first days of the scored window, where residual history is thin.</w:t>
      </w:r>
    </w:p>
    <w:p>
      <w:pPr>
        <w:pStyle w:val="ListParagraph"/>
        <w:numPr>
          <w:ilvl w:val="0"/>
          <w:numId w:val="2"/>
        </w:numPr>
        <w:spacing w:after="70" w:line="276"/>
      </w:pPr>
      <w:r>
        <w:rPr>
          <w:rFonts w:ascii="Calibri" w:cs="Calibri" w:eastAsia="Calibri" w:hAnsi="Calibri"/>
          <w:color w:val="1A1A1A"/>
          <w:sz w:val="21"/>
          <w:szCs w:val="21"/>
        </w:rPr>
        <w:t xml:space="preserve">Residual dispersion frozen at its pre-episode value while an episode is open, so a long episode cannot inflate its own baseline and silently damp its later days.</w:t>
      </w:r>
    </w:p>
    <w:p>
      <w:pPr>
        <w:pStyle w:val="Heading2"/>
        <w:spacing w:after="120" w:before="260"/>
      </w:pPr>
      <w:r>
        <w:rPr>
          <w:rFonts w:ascii="Calibri" w:cs="Calibri" w:eastAsia="Calibri" w:hAnsi="Calibri"/>
          <w:b/>
          <w:bCs/>
          <w:color w:val="0F766E"/>
          <w:sz w:val="24"/>
          <w:szCs w:val="24"/>
        </w:rPr>
        <w:t xml:space="preserve">8.4 Severity bands</w:t>
      </w:r>
    </w:p>
    <w:p>
      <w:pPr>
        <w:spacing w:after="120" w:before="0" w:line="276"/>
      </w:pPr>
      <w:r>
        <w:rPr>
          <w:rFonts w:ascii="Calibri" w:cs="Calibri" w:eastAsia="Calibri" w:hAnsi="Calibri"/>
          <w:color w:val="1A1A1A"/>
          <w:sz w:val="21"/>
          <w:szCs w:val="21"/>
        </w:rPr>
        <w:t xml:space="preserve">Normal [0,30), Watch [30,50), Elevated [50,70), Severe [70,85), Critical [85,100].</w:t>
      </w:r>
    </w:p>
    <w:p>
      <w:pPr>
        <w:pStyle w:val="Heading2"/>
        <w:spacing w:after="120" w:before="260"/>
      </w:pPr>
      <w:r>
        <w:rPr>
          <w:rFonts w:ascii="Calibri" w:cs="Calibri" w:eastAsia="Calibri" w:hAnsi="Calibri"/>
          <w:b/>
          <w:bCs/>
          <w:color w:val="0F766E"/>
          <w:sz w:val="24"/>
          <w:szCs w:val="24"/>
        </w:rPr>
        <w:t xml:space="preserve">8.5 Measured detection results</w:t>
      </w:r>
    </w:p>
    <w:p>
      <w:pPr>
        <w:spacing w:after="120" w:before="0" w:line="276"/>
      </w:pPr>
      <w:r>
        <w:rPr>
          <w:rFonts w:ascii="Calibri" w:cs="Calibri" w:eastAsia="Calibri" w:hAnsi="Calibri"/>
          <w:color w:val="1A1A1A"/>
          <w:sz w:val="21"/>
          <w:szCs w:val="21"/>
        </w:rPr>
        <w:t xml:space="preserve">Scored over the out-of-sample window 2016-02-01 to 2016-05-22, covering 21,900 eligible series and 2,452,463 scored series-days.</w:t>
      </w:r>
    </w:p>
    <w:tbl>
      <w:tblPr>
        <w:tblW w:type="dxa" w:w="9360"/>
        <w:tblBorders>
          <w:top w:val="single" w:color="C9D2DB" w:sz="2"/>
          <w:left w:val="none"/>
          <w:bottom w:val="single" w:color="C9D2DB" w:sz="2"/>
          <w:right w:val="none"/>
          <w:insideH w:val="single" w:color="DCE3EA" w:sz="1"/>
          <w:insideV w:val="none"/>
        </w:tblBorders>
      </w:tblPr>
      <w:tblGrid>
        <w:gridCol w:w="5360"/>
        <w:gridCol w:w="2000"/>
        <w:gridCol w:w="2000"/>
      </w:tblGrid>
      <w:tr>
        <w:trPr>
          <w:tblHeader/>
        </w:trPr>
        <w:tc>
          <w:tcPr>
            <w:tcW w:type="dxa" w:w="536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Classification</w:t>
            </w:r>
          </w:p>
        </w:tc>
        <w:tc>
          <w:tcPr>
            <w:tcW w:type="dxa" w:w="20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Episodes</w:t>
            </w:r>
          </w:p>
        </w:tc>
        <w:tc>
          <w:tcPr>
            <w:tcW w:type="dxa" w:w="20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Share</w:t>
            </w:r>
          </w:p>
        </w:tc>
      </w:tr>
      <w:tr>
        <w:tc>
          <w:tcPr>
            <w:tcW w:type="dxa" w:w="5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Volatility Shock</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22,095</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41.1%</w:t>
            </w:r>
          </w:p>
        </w:tc>
      </w:tr>
      <w:tr>
        <w:tc>
          <w:tcPr>
            <w:tcW w:type="dxa" w:w="5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Demand Surge</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17,523</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32.6%</w:t>
            </w:r>
          </w:p>
        </w:tc>
      </w:tr>
      <w:tr>
        <w:tc>
          <w:tcPr>
            <w:tcW w:type="dxa" w:w="5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Demand Collapse</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11,872</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22.1%</w:t>
            </w:r>
          </w:p>
        </w:tc>
      </w:tr>
      <w:tr>
        <w:tc>
          <w:tcPr>
            <w:tcW w:type="dxa" w:w="5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Persistent Over-forecast</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1,617</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w:t>
            </w:r>
          </w:p>
        </w:tc>
      </w:tr>
      <w:tr>
        <w:tc>
          <w:tcPr>
            <w:tcW w:type="dxa" w:w="5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Regime Shift</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389</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w:t>
            </w:r>
          </w:p>
        </w:tc>
      </w:tr>
      <w:tr>
        <w:tc>
          <w:tcPr>
            <w:tcW w:type="dxa" w:w="5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Possible Regime Shift (window truncated)</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209</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0.4%</w:t>
            </w:r>
          </w:p>
        </w:tc>
      </w:tr>
      <w:tr>
        <w:tc>
          <w:tcPr>
            <w:tcW w:type="dxa" w:w="5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Persistent Under-forecast</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69</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0.1%</w:t>
            </w:r>
          </w:p>
        </w:tc>
      </w:tr>
    </w:tbl>
    <w:p>
      <w:pPr>
        <w:spacing w:after="0" w:before="0" w:line="276"/>
      </w:pPr>
      <w:r>
        <w:rPr>
          <w:rFonts w:ascii="Calibri" w:cs="Calibri" w:eastAsia="Calibri" w:hAnsi="Calibri"/>
          <w:color w:val="1A1A1A"/>
          <w:sz w:val="21"/>
          <w:szCs w:val="21"/>
        </w:rPr>
        <w:t xml:space="preserve"/>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Severity band</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Episodes</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Critical</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260</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Severe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3,234</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Elevated</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26,805</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Watch</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23,475</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In total 53,774 episodes were filed, with a median duration of 4 days and a maximum score of 93.3. All seven classification labels occur in the data, and automated tests drive each one end-to-end to prove none is unreachable.</w:t>
      </w:r>
    </w:p>
    <w:p>
      <w:pPr>
        <w:pStyle w:val="Heading2"/>
        <w:spacing w:after="120" w:before="260"/>
      </w:pPr>
      <w:r>
        <w:rPr>
          <w:rFonts w:ascii="Calibri" w:cs="Calibri" w:eastAsia="Calibri" w:hAnsi="Calibri"/>
          <w:b/>
          <w:bCs/>
          <w:color w:val="0F766E"/>
          <w:sz w:val="24"/>
          <w:szCs w:val="24"/>
        </w:rPr>
        <w:t xml:space="preserve">8.6 Real-world context, stated as coincidence</w:t>
      </w:r>
    </w:p>
    <w:p>
      <w:pPr>
        <w:spacing w:after="120" w:before="0" w:line="276"/>
      </w:pPr>
      <w:r>
        <w:rPr>
          <w:rFonts w:ascii="Calibri" w:cs="Calibri" w:eastAsia="Calibri" w:hAnsi="Calibri"/>
          <w:color w:val="1A1A1A"/>
          <w:sz w:val="21"/>
          <w:szCs w:val="21"/>
        </w:rPr>
        <w:t xml:space="preserve">13.8% of episodes coincided with a FEMA disaster declaration active in the same state. The platform reports this as a coincidence rate and never as a causal effect.</w:t>
      </w:r>
    </w:p>
    <w:p>
      <w:pPr>
        <w:shd w:fill="F7F9FB" w:color="auto" w:val="clear"/>
        <w:spacing w:after="0" w:before="100" w:line="276"/>
      </w:pPr>
      <w:r>
        <w:rPr>
          <w:rFonts w:ascii="Calibri" w:cs="Calibri" w:eastAsia="Calibri" w:hAnsi="Calibri"/>
          <w:b/>
          <w:bCs/>
          <w:color w:val="0B3C5D"/>
          <w:sz w:val="21"/>
          <w:szCs w:val="21"/>
        </w:rPr>
        <w:t xml:space="preserve">The wording rule, enforced by test</w:t>
      </w:r>
    </w:p>
    <w:p>
      <w:pPr>
        <w:shd w:fill="F7F9FB" w:color="auto" w:val="clear"/>
        <w:spacing w:after="160" w:before="0" w:line="276"/>
      </w:pPr>
      <w:r>
        <w:rPr>
          <w:rFonts w:ascii="Calibri" w:cs="Calibri" w:eastAsia="Calibri" w:hAnsi="Calibri"/>
          <w:color w:val="1A1A1A"/>
          <w:sz w:val="21"/>
          <w:szCs w:val="21"/>
        </w:rPr>
        <w:t xml:space="preserve">Permitted: a FEMA disaster declaration was active within the state during this period. Not permitted: the disaster caused demand to increase. FEMA declarations are county-scoped while M5 discloses only a store's state, so the relationship is a state-level temporal coincidence. An automated test scans every generated context sentence for causal language.</w:t>
      </w:r>
    </w:p>
    <w:p>
      <w:pPr>
        <w:pStyle w:val="Heading2"/>
        <w:spacing w:after="120" w:before="260"/>
      </w:pPr>
      <w:r>
        <w:rPr>
          <w:rFonts w:ascii="Calibri" w:cs="Calibri" w:eastAsia="Calibri" w:hAnsi="Calibri"/>
          <w:b/>
          <w:bCs/>
          <w:color w:val="0F766E"/>
          <w:sz w:val="24"/>
          <w:szCs w:val="24"/>
        </w:rPr>
        <w:t xml:space="preserve">8.7 Auditable explanations</w:t>
      </w:r>
    </w:p>
    <w:p>
      <w:pPr>
        <w:spacing w:after="120" w:before="0" w:line="276"/>
      </w:pPr>
      <w:r>
        <w:rPr>
          <w:rFonts w:ascii="Calibri" w:cs="Calibri" w:eastAsia="Calibri" w:hAnsi="Calibri"/>
          <w:color w:val="1A1A1A"/>
          <w:sz w:val="21"/>
          <w:szCs w:val="21"/>
        </w:rPr>
        <w:t xml:space="preserve">Each episode carries a structured explanation payload containing the component values, the points each contributed, the guard multiplier, any warm-up cap applied, the decision trace through the classification tree, and the attached real-world context. A test verifies that the arithmetic in every payload reconciles to the stored score.</w:t>
      </w:r>
    </w:p>
    <w:p>
      <w:r>
        <w:br w:type="page"/>
      </w:r>
    </w:p>
    <w:p>
      <w:pPr>
        <w:pStyle w:val="Heading1"/>
        <w:spacing w:after="160" w:before="360"/>
      </w:pPr>
      <w:r>
        <w:rPr>
          <w:rFonts w:ascii="Calibri" w:cs="Calibri" w:eastAsia="Calibri" w:hAnsi="Calibri"/>
          <w:b/>
          <w:bCs/>
          <w:color w:val="0B3C5D"/>
          <w:sz w:val="30"/>
          <w:szCs w:val="30"/>
        </w:rPr>
        <w:t xml:space="preserve">9. Inventory and Business Impact</w:t>
      </w:r>
    </w:p>
    <w:p>
      <w:pPr>
        <w:shd w:fill="F7F9FB" w:color="auto" w:val="clear"/>
        <w:spacing w:after="0" w:before="100" w:line="276"/>
      </w:pPr>
      <w:r>
        <w:rPr>
          <w:rFonts w:ascii="Calibri" w:cs="Calibri" w:eastAsia="Calibri" w:hAnsi="Calibri"/>
          <w:b/>
          <w:bCs/>
          <w:color w:val="0B3C5D"/>
          <w:sz w:val="21"/>
          <w:szCs w:val="21"/>
        </w:rPr>
        <w:t xml:space="preserve">The constraint that shapes this module</w:t>
      </w:r>
    </w:p>
    <w:p>
      <w:pPr>
        <w:shd w:fill="F7F9FB" w:color="auto" w:val="clear"/>
        <w:spacing w:after="160" w:before="0" w:line="276"/>
      </w:pPr>
      <w:r>
        <w:rPr>
          <w:rFonts w:ascii="Calibri" w:cs="Calibri" w:eastAsia="Calibri" w:hAnsi="Calibri"/>
          <w:color w:val="1A1A1A"/>
          <w:sz w:val="21"/>
          <w:szCs w:val="21"/>
        </w:rPr>
        <w:t xml:space="preserve">M5 contains no inventory records: no on-hand stock, no lead times, no service levels and no costs. Rather than inventing values, the module separates what can be measured from what must be supplied by the user, and labels the difference in the interface.</w:t>
      </w:r>
    </w:p>
    <w:p>
      <w:pPr>
        <w:pStyle w:val="Heading2"/>
        <w:spacing w:after="120" w:before="260"/>
      </w:pPr>
      <w:r>
        <w:rPr>
          <w:rFonts w:ascii="Calibri" w:cs="Calibri" w:eastAsia="Calibri" w:hAnsi="Calibri"/>
          <w:b/>
          <w:bCs/>
          <w:color w:val="0F766E"/>
          <w:sz w:val="24"/>
          <w:szCs w:val="24"/>
        </w:rPr>
        <w:t xml:space="preserve">9.1 Measured from real data</w:t>
      </w:r>
    </w:p>
    <w:p>
      <w:pPr>
        <w:spacing w:after="120" w:before="0" w:line="276"/>
      </w:pPr>
      <w:r>
        <w:rPr>
          <w:rFonts w:ascii="Calibri" w:cs="Calibri" w:eastAsia="Calibri" w:hAnsi="Calibri"/>
          <w:color w:val="1A1A1A"/>
          <w:sz w:val="21"/>
          <w:szCs w:val="21"/>
        </w:rPr>
        <w:t xml:space="preserve">These figures require no assumptions and are always displayed.</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Quantity</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Value</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Series covered</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30,490 (30,463 eligible for planning arithmetic)</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Actual units sold in the holdout window</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1,231,648</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Forecast units over the same window</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1,137,815</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Revenue represented at real sell prices</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$3,900,555</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Under-forecast exposure</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$1,702,722</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Over-forecast exposure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$1,381,154</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Total estimated revenue exposure</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$3,083,876</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b/>
          <w:bCs/>
          <w:color w:val="1A1A1A"/>
          <w:sz w:val="21"/>
          <w:szCs w:val="21"/>
        </w:rPr>
        <w:t xml:space="preserve">Estimated Revenue Exposure </w:t>
      </w:r>
      <w:r>
        <w:rPr>
          <w:rFonts w:ascii="Calibri" w:cs="Calibri" w:eastAsia="Calibri" w:hAnsi="Calibri"/>
          <w:color w:val="1A1A1A"/>
          <w:sz w:val="21"/>
          <w:szCs w:val="21"/>
        </w:rPr>
        <w:t xml:space="preserve">dollarises forecast error using real M5 sell prices. It is deliberately not called lost revenue: M5 records units sold, so demand that was never satisfied is unobservable in the source data. Under-forecast exposure indicates potential missed sales; over-forecast exposure indicates working capital at risk of being tied up.</w:t>
      </w:r>
    </w:p>
    <w:p>
      <w:pPr>
        <w:pStyle w:val="Heading2"/>
        <w:spacing w:after="120" w:before="260"/>
      </w:pPr>
      <w:r>
        <w:rPr>
          <w:rFonts w:ascii="Calibri" w:cs="Calibri" w:eastAsia="Calibri" w:hAnsi="Calibri"/>
          <w:b/>
          <w:bCs/>
          <w:color w:val="0F766E"/>
          <w:sz w:val="24"/>
          <w:szCs w:val="24"/>
        </w:rPr>
        <w:t xml:space="preserve">9.2 Requires user-supplied operating assumptions</w:t>
      </w:r>
    </w:p>
    <w:p>
      <w:pPr>
        <w:spacing w:after="120" w:before="0" w:line="276"/>
      </w:pPr>
      <w:r>
        <w:rPr>
          <w:rFonts w:ascii="Calibri" w:cs="Calibri" w:eastAsia="Calibri" w:hAnsi="Calibri"/>
          <w:color w:val="1A1A1A"/>
          <w:sz w:val="21"/>
          <w:szCs w:val="21"/>
        </w:rPr>
        <w:t xml:space="preserve">Safety stock, reorder point, days of cover and projected stockout are computed only after the user supplies a lead time and explicitly selects a service level. Nothing is pre-populated as fact, and outputs are badged as user input in the interface.</w:t>
      </w:r>
    </w:p>
    <w:tbl>
      <w:tblPr>
        <w:tblW w:type="dxa" w:w="9360"/>
        <w:tblBorders>
          <w:top w:val="single" w:color="C9D2DB" w:sz="2"/>
          <w:left w:val="none"/>
          <w:bottom w:val="single" w:color="C9D2DB" w:sz="2"/>
          <w:right w:val="none"/>
          <w:insideH w:val="single" w:color="DCE3EA" w:sz="1"/>
          <w:insideV w:val="none"/>
        </w:tblBorders>
      </w:tblPr>
      <w:tblGrid>
        <w:gridCol w:w="2900"/>
        <w:gridCol w:w="6460"/>
      </w:tblGrid>
      <w:tr>
        <w:trPr>
          <w:tblHeader/>
        </w:trPr>
        <w:tc>
          <w:tcPr>
            <w:tcW w:type="dxa" w:w="29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Quantity</w:t>
            </w:r>
          </w:p>
        </w:tc>
        <w:tc>
          <w:tcPr>
            <w:tcW w:type="dxa" w:w="64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Formula</w:t>
            </w:r>
          </w:p>
        </w:tc>
      </w:tr>
      <w:tr>
        <w:tc>
          <w:tcPr>
            <w:tcW w:type="dxa" w:w="2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Lead-time demand</w:t>
            </w:r>
          </w:p>
        </w:tc>
        <w:tc>
          <w:tcPr>
            <w:tcW w:type="dxa" w:w="6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Sum of the daily forecasts over the lead time</w:t>
            </w:r>
          </w:p>
        </w:tc>
      </w:tr>
      <w:tr>
        <w:tc>
          <w:tcPr>
            <w:tcW w:type="dxa" w:w="2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Safety stock</w:t>
            </w:r>
          </w:p>
        </w:tc>
        <w:tc>
          <w:tcPr>
            <w:tcW w:type="dxa" w:w="64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z x sigma_daily x sqrt(lead_time)</w:t>
            </w:r>
          </w:p>
        </w:tc>
      </w:tr>
      <w:tr>
        <w:tc>
          <w:tcPr>
            <w:tcW w:type="dxa" w:w="2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Reorder point</w:t>
            </w:r>
          </w:p>
        </w:tc>
        <w:tc>
          <w:tcPr>
            <w:tcW w:type="dxa" w:w="6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Lead-time demand + safety stock</w:t>
            </w:r>
          </w:p>
        </w:tc>
      </w:tr>
      <w:tr>
        <w:tc>
          <w:tcPr>
            <w:tcW w:type="dxa" w:w="2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Days of cover</w:t>
            </w:r>
          </w:p>
        </w:tc>
        <w:tc>
          <w:tcPr>
            <w:tcW w:type="dxa" w:w="64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On-hand units / mean daily forecast</w:t>
            </w:r>
          </w:p>
        </w:tc>
      </w:tr>
      <w:tr>
        <w:tc>
          <w:tcPr>
            <w:tcW w:type="dxa" w:w="2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Projected stockout</w:t>
            </w:r>
          </w:p>
        </w:tc>
        <w:tc>
          <w:tcPr>
            <w:tcW w:type="dxa" w:w="6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First day cumulative forecast exceeds on-hand units</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The value of sigma is the standard deviation of that series' own out-of-sample daily forecast errors, measured across the backtest folds rather than assumed. The independence assumption behind the square-root scaling is stated explicitly, and a conservative perfectly-correlated bound is displayed alongside it so the planner can see both.</w:t>
      </w:r>
    </w:p>
    <w:p>
      <w:pPr>
        <w:pStyle w:val="Heading2"/>
        <w:spacing w:after="120" w:before="260"/>
      </w:pPr>
      <w:r>
        <w:rPr>
          <w:rFonts w:ascii="Calibri" w:cs="Calibri" w:eastAsia="Calibri" w:hAnsi="Calibri"/>
          <w:b/>
          <w:bCs/>
          <w:color w:val="0F766E"/>
          <w:sz w:val="24"/>
          <w:szCs w:val="24"/>
        </w:rPr>
        <w:t xml:space="preserve">9.3 Separating technical results from business assumptions</w:t>
      </w:r>
    </w:p>
    <w:p>
      <w:pPr>
        <w:spacing w:after="120" w:before="0" w:line="276"/>
      </w:pPr>
      <w:r>
        <w:rPr>
          <w:rFonts w:ascii="Calibri" w:cs="Calibri" w:eastAsia="Calibri" w:hAnsi="Calibri"/>
          <w:color w:val="1A1A1A"/>
          <w:sz w:val="21"/>
          <w:szCs w:val="21"/>
        </w:rPr>
        <w:t xml:space="preserve">For business-case purposes the distinction matters. The measured technical results are the accuracy improvement over benchmarks, the interval coverage, the ablation finding, the shock statistics and the dollar-valued exposure at real prices. Any translation of those into inventory savings, stockout reduction or return on investment is an assumption layer that requires service levels, lead times and holding costs the data does not contain. The platform does not make that translation, and neither does this report.</w:t>
      </w:r>
    </w:p>
    <w:p>
      <w:r>
        <w:br w:type="page"/>
      </w:r>
    </w:p>
    <w:p>
      <w:pPr>
        <w:pStyle w:val="Heading1"/>
        <w:spacing w:after="160" w:before="360"/>
      </w:pPr>
      <w:r>
        <w:rPr>
          <w:rFonts w:ascii="Calibri" w:cs="Calibri" w:eastAsia="Calibri" w:hAnsi="Calibri"/>
          <w:b/>
          <w:bCs/>
          <w:color w:val="0B3C5D"/>
          <w:sz w:val="30"/>
          <w:szCs w:val="30"/>
        </w:rPr>
        <w:t xml:space="preserve">10. Application and Service Layer</w:t>
      </w:r>
    </w:p>
    <w:p>
      <w:pPr>
        <w:pStyle w:val="Heading2"/>
        <w:spacing w:after="120" w:before="260"/>
      </w:pPr>
      <w:r>
        <w:rPr>
          <w:rFonts w:ascii="Calibri" w:cs="Calibri" w:eastAsia="Calibri" w:hAnsi="Calibri"/>
          <w:b/>
          <w:bCs/>
          <w:color w:val="0F766E"/>
          <w:sz w:val="24"/>
          <w:szCs w:val="24"/>
        </w:rPr>
        <w:t xml:space="preserve">10.1 The five modules</w:t>
      </w:r>
    </w:p>
    <w:tbl>
      <w:tblPr>
        <w:tblW w:type="dxa" w:w="9360"/>
        <w:tblBorders>
          <w:top w:val="single" w:color="C9D2DB" w:sz="2"/>
          <w:left w:val="none"/>
          <w:bottom w:val="single" w:color="C9D2DB" w:sz="2"/>
          <w:right w:val="none"/>
          <w:insideH w:val="single" w:color="DCE3EA" w:sz="1"/>
          <w:insideV w:val="none"/>
        </w:tblBorders>
      </w:tblPr>
      <w:tblGrid>
        <w:gridCol w:w="3300"/>
        <w:gridCol w:w="6060"/>
      </w:tblGrid>
      <w:tr>
        <w:trPr>
          <w:tblHeader/>
        </w:trPr>
        <w:tc>
          <w:tcPr>
            <w:tcW w:type="dxa" w:w="33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Module</w:t>
            </w:r>
          </w:p>
        </w:tc>
        <w:tc>
          <w:tcPr>
            <w:tcW w:type="dxa" w:w="60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Question it answers</w:t>
            </w:r>
          </w:p>
        </w:tc>
      </w:tr>
      <w:tr>
        <w:tc>
          <w:tcPr>
            <w:tcW w:type="dxa" w:w="33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1. Executive Command Centre</w:t>
            </w:r>
          </w:p>
        </w:tc>
        <w:tc>
          <w:tcPr>
            <w:tcW w:type="dxa" w:w="60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Over the last evaluated 28 days, how did demand track forecast, and where is the risk?</w:t>
            </w:r>
          </w:p>
        </w:tc>
      </w:tr>
      <w:tr>
        <w:tc>
          <w:tcPr>
            <w:tcW w:type="dxa" w:w="33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2. Forecasting Intelligence</w:t>
            </w:r>
          </w:p>
        </w:tc>
        <w:tc>
          <w:tcPr>
            <w:tcW w:type="dxa" w:w="60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How accurate is the forecast, for which products and stores, and at which horizon?</w:t>
            </w:r>
          </w:p>
        </w:tc>
      </w:tr>
      <w:tr>
        <w:tc>
          <w:tcPr>
            <w:tcW w:type="dxa" w:w="33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3. Crisis and Demand Shock Intelligence</w:t>
            </w:r>
          </w:p>
        </w:tc>
        <w:tc>
          <w:tcPr>
            <w:tcW w:type="dxa" w:w="60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Where did demand break from expectation, how severe, and what real events coincided?</w:t>
            </w:r>
          </w:p>
        </w:tc>
      </w:tr>
      <w:tr>
        <w:tc>
          <w:tcPr>
            <w:tcW w:type="dxa" w:w="33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4. Inventory and Business Impact</w:t>
            </w:r>
          </w:p>
        </w:tc>
        <w:tc>
          <w:tcPr>
            <w:tcW w:type="dxa" w:w="60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What does the forecast imply for stock, and what is at stake in dollars?</w:t>
            </w:r>
          </w:p>
        </w:tc>
      </w:tr>
      <w:tr>
        <w:tc>
          <w:tcPr>
            <w:tcW w:type="dxa" w:w="33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5. Model, Explainability and Data Quality</w:t>
            </w:r>
          </w:p>
        </w:tc>
        <w:tc>
          <w:tcPr>
            <w:tcW w:type="dxa" w:w="60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Can this model be trusted, why does it predict what it does, and is the data sound?</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10.2 Interface principles</w:t>
      </w:r>
    </w:p>
    <w:p>
      <w:pPr>
        <w:pStyle w:val="ListParagraph"/>
        <w:numPr>
          <w:ilvl w:val="0"/>
          <w:numId w:val="2"/>
        </w:numPr>
        <w:spacing w:after="70" w:line="276"/>
      </w:pPr>
      <w:r>
        <w:rPr>
          <w:rFonts w:ascii="Calibri" w:cs="Calibri" w:eastAsia="Calibri" w:hAnsi="Calibri"/>
          <w:color w:val="1A1A1A"/>
          <w:sz w:val="21"/>
          <w:szCs w:val="21"/>
        </w:rPr>
        <w:t xml:space="preserve">Every displayed value is read from a pipeline artifact. No metric is hard-coded.</w:t>
      </w:r>
    </w:p>
    <w:p>
      <w:pPr>
        <w:pStyle w:val="ListParagraph"/>
        <w:numPr>
          <w:ilvl w:val="0"/>
          <w:numId w:val="2"/>
        </w:numPr>
        <w:spacing w:after="70" w:line="276"/>
      </w:pPr>
      <w:r>
        <w:rPr>
          <w:rFonts w:ascii="Calibri" w:cs="Calibri" w:eastAsia="Calibri" w:hAnsi="Calibri"/>
          <w:color w:val="1A1A1A"/>
          <w:sz w:val="21"/>
          <w:szCs w:val="21"/>
        </w:rPr>
        <w:t xml:space="preserve">Key performance indicators respond to the sidebar filters, and where a figure is necessarily global it says so rather than appearing to follow the selection.</w:t>
      </w:r>
    </w:p>
    <w:p>
      <w:pPr>
        <w:pStyle w:val="ListParagraph"/>
        <w:numPr>
          <w:ilvl w:val="0"/>
          <w:numId w:val="2"/>
        </w:numPr>
        <w:spacing w:after="70" w:line="276"/>
      </w:pPr>
      <w:r>
        <w:rPr>
          <w:rFonts w:ascii="Calibri" w:cs="Calibri" w:eastAsia="Calibri" w:hAnsi="Calibri"/>
          <w:color w:val="1A1A1A"/>
          <w:sz w:val="21"/>
          <w:szCs w:val="21"/>
        </w:rPr>
        <w:t xml:space="preserve">Metrics that can mislead are annotated at the point of display, including the instability of sMAPE on intermittent demand and the meaning of item-day accuracy.</w:t>
      </w:r>
    </w:p>
    <w:p>
      <w:pPr>
        <w:pStyle w:val="ListParagraph"/>
        <w:numPr>
          <w:ilvl w:val="0"/>
          <w:numId w:val="2"/>
        </w:numPr>
        <w:spacing w:after="70" w:line="276"/>
      </w:pPr>
      <w:r>
        <w:rPr>
          <w:rFonts w:ascii="Calibri" w:cs="Calibri" w:eastAsia="Calibri" w:hAnsi="Calibri"/>
          <w:color w:val="1A1A1A"/>
          <w:sz w:val="21"/>
          <w:szCs w:val="21"/>
        </w:rPr>
        <w:t xml:space="preserve">Missing artifacts produce actionable guidance and the exact rebuild command, never a stack trace.</w:t>
      </w:r>
    </w:p>
    <w:p>
      <w:pPr>
        <w:pStyle w:val="ListParagraph"/>
        <w:numPr>
          <w:ilvl w:val="0"/>
          <w:numId w:val="2"/>
        </w:numPr>
        <w:spacing w:after="70" w:line="276"/>
      </w:pPr>
      <w:r>
        <w:rPr>
          <w:rFonts w:ascii="Calibri" w:cs="Calibri" w:eastAsia="Calibri" w:hAnsi="Calibri"/>
          <w:color w:val="1A1A1A"/>
          <w:sz w:val="21"/>
          <w:szCs w:val="21"/>
        </w:rPr>
        <w:t xml:space="preserve">Large lists are searchable and capped, with the cap stated rather than silently applied.</w:t>
      </w:r>
    </w:p>
    <w:p>
      <w:pPr>
        <w:pStyle w:val="Heading2"/>
        <w:spacing w:after="120" w:before="260"/>
      </w:pPr>
      <w:r>
        <w:rPr>
          <w:rFonts w:ascii="Calibri" w:cs="Calibri" w:eastAsia="Calibri" w:hAnsi="Calibri"/>
          <w:b/>
          <w:bCs/>
          <w:color w:val="0F766E"/>
          <w:sz w:val="24"/>
          <w:szCs w:val="24"/>
        </w:rPr>
        <w:t xml:space="preserve">10.3 Service layer</w:t>
      </w:r>
    </w:p>
    <w:p>
      <w:pPr>
        <w:spacing w:after="120" w:before="0" w:line="276"/>
      </w:pPr>
      <w:r>
        <w:rPr>
          <w:rFonts w:ascii="Calibri" w:cs="Calibri" w:eastAsia="Calibri" w:hAnsi="Calibri"/>
          <w:color w:val="1A1A1A"/>
          <w:sz w:val="21"/>
          <w:szCs w:val="21"/>
        </w:rPr>
        <w:t xml:space="preserve">A small FastAPI service exposes the same artifacts programmatically: health, metadata, forecast, shocks, metrics and an inventory analysis endpoint. Responses are typed with pydantic models, errors use a single consistent envelope, list endpoints disclose truncation, and the inventory endpoint reports whether a service level was supplied by the caller or defaulted by the service.</w:t>
      </w:r>
    </w:p>
    <w:p>
      <w:r>
        <w:br w:type="page"/>
      </w:r>
    </w:p>
    <w:p>
      <w:pPr>
        <w:pStyle w:val="Heading1"/>
        <w:spacing w:after="160" w:before="360"/>
      </w:pPr>
      <w:r>
        <w:rPr>
          <w:rFonts w:ascii="Calibri" w:cs="Calibri" w:eastAsia="Calibri" w:hAnsi="Calibri"/>
          <w:b/>
          <w:bCs/>
          <w:color w:val="0B3C5D"/>
          <w:sz w:val="30"/>
          <w:szCs w:val="30"/>
        </w:rPr>
        <w:t xml:space="preserve">11. Engineering Quality and Verification</w:t>
      </w:r>
    </w:p>
    <w:p>
      <w:pPr>
        <w:pStyle w:val="Heading2"/>
        <w:spacing w:after="120" w:before="260"/>
      </w:pPr>
      <w:r>
        <w:rPr>
          <w:rFonts w:ascii="Calibri" w:cs="Calibri" w:eastAsia="Calibri" w:hAnsi="Calibri"/>
          <w:b/>
          <w:bCs/>
          <w:color w:val="0F766E"/>
          <w:sz w:val="24"/>
          <w:szCs w:val="24"/>
        </w:rPr>
        <w:t xml:space="preserve">11.1 Test suite</w:t>
      </w:r>
    </w:p>
    <w:p>
      <w:pPr>
        <w:spacing w:after="120" w:before="0" w:line="276"/>
      </w:pPr>
      <w:r>
        <w:rPr>
          <w:rFonts w:ascii="Calibri" w:cs="Calibri" w:eastAsia="Calibri" w:hAnsi="Calibri"/>
          <w:color w:val="1A1A1A"/>
          <w:sz w:val="21"/>
          <w:szCs w:val="21"/>
        </w:rPr>
        <w:t xml:space="preserve">The suite comprises 119 automated tests, all passing with none skipped in the reference environment. Coverage is organised around the risks that matter most for a forecasting system.</w:t>
      </w:r>
    </w:p>
    <w:tbl>
      <w:tblPr>
        <w:tblW w:type="dxa" w:w="9360"/>
        <w:tblBorders>
          <w:top w:val="single" w:color="C9D2DB" w:sz="2"/>
          <w:left w:val="none"/>
          <w:bottom w:val="single" w:color="C9D2DB" w:sz="2"/>
          <w:right w:val="none"/>
          <w:insideH w:val="single" w:color="DCE3EA" w:sz="1"/>
          <w:insideV w:val="none"/>
        </w:tblBorders>
      </w:tblPr>
      <w:tblGrid>
        <w:gridCol w:w="2400"/>
        <w:gridCol w:w="6960"/>
      </w:tblGrid>
      <w:tr>
        <w:trPr>
          <w:tblHeader/>
        </w:trPr>
        <w:tc>
          <w:tcPr>
            <w:tcW w:type="dxa" w:w="24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Area</w:t>
            </w:r>
          </w:p>
        </w:tc>
        <w:tc>
          <w:tcPr>
            <w:tcW w:type="dxa" w:w="69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What is proven</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Temporal leakage</w:t>
            </w:r>
          </w:p>
        </w:tc>
        <w:tc>
          <w:tcPr>
            <w:tcW w:type="dxa" w:w="6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Perturbing actuals inside the 28-day origin window leaves every feature bit-identical, with a control test proving the check is not vacuous</w:t>
            </w:r>
          </w:p>
        </w:tc>
      </w:tr>
      <w:tr>
        <w:tc>
          <w:tcPr>
            <w:tcW w:type="dxa" w:w="24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External signal timing</w:t>
            </w:r>
          </w:p>
        </w:tc>
        <w:tc>
          <w:tcPr>
            <w:tcW w:type="dxa" w:w="69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FEMA flags stay off before a declaration was issued; FRED respects the publication boundary to the day</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Data provenance</w:t>
            </w:r>
          </w:p>
        </w:tc>
        <w:tc>
          <w:tcPr>
            <w:tcW w:type="dxa" w:w="6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The melt, the price ingest and the FEMA deduplication are checked against the raw source CSV files</w:t>
            </w:r>
          </w:p>
        </w:tc>
      </w:tr>
      <w:tr>
        <w:tc>
          <w:tcPr>
            <w:tcW w:type="dxa" w:w="24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Metrics</w:t>
            </w:r>
          </w:p>
        </w:tc>
        <w:tc>
          <w:tcPr>
            <w:tcW w:type="dxa" w:w="69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Hand-computed values, degenerate cases, and pooled versus averaged aggregation</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Shock scoring</w:t>
            </w:r>
          </w:p>
        </w:tc>
        <w:tc>
          <w:tcPr>
            <w:tcW w:type="dxa" w:w="6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Score reconciliation, determinism, guards, sigma freezing, and all seven classifications driven end-to-end</w:t>
            </w:r>
          </w:p>
        </w:tc>
      </w:tr>
      <w:tr>
        <w:tc>
          <w:tcPr>
            <w:tcW w:type="dxa" w:w="24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Inventory</w:t>
            </w:r>
          </w:p>
        </w:tc>
        <w:tc>
          <w:tcPr>
            <w:tcW w:type="dxa" w:w="69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Formula correctness, lead-time clamping, and that nothing is produced without user input</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Service layer</w:t>
            </w:r>
          </w:p>
        </w:tc>
        <w:tc>
          <w:tcPr>
            <w:tcW w:type="dxa" w:w="6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Response schemas and the 200, 404, 422 and 503 paths</w:t>
            </w:r>
          </w:p>
        </w:tc>
      </w:tr>
      <w:tr>
        <w:tc>
          <w:tcPr>
            <w:tcW w:type="dxa" w:w="24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Graceful degradation</w:t>
            </w:r>
          </w:p>
        </w:tc>
        <w:tc>
          <w:tcPr>
            <w:tcW w:type="dxa" w:w="69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Every page renders guidance rather than a traceback when artifacts are absent</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11.2 The central leakage proof</w:t>
      </w:r>
    </w:p>
    <w:p>
      <w:pPr>
        <w:spacing w:after="120" w:before="0" w:line="276"/>
      </w:pPr>
      <w:r>
        <w:rPr>
          <w:rFonts w:ascii="Calibri" w:cs="Calibri" w:eastAsia="Calibri" w:hAnsi="Calibri"/>
          <w:color w:val="1A1A1A"/>
          <w:sz w:val="21"/>
          <w:szCs w:val="21"/>
        </w:rPr>
        <w:t xml:space="preserve">The most important test states the invariant directly: for a real series, actuals within the 28 days preceding and including the target date are perturbed, features are recomputed, and every demand feature at the target date must be unchanged. A companion control test perturbs the day at the origin boundary and asserts the features do change, which proves the first test could actually fail. Three explicit anti-vacuity guards prevent the test from passing through an empty loop.</w:t>
      </w:r>
    </w:p>
    <w:p>
      <w:pPr>
        <w:pStyle w:val="Heading2"/>
        <w:spacing w:after="120" w:before="260"/>
      </w:pPr>
      <w:r>
        <w:rPr>
          <w:rFonts w:ascii="Calibri" w:cs="Calibri" w:eastAsia="Calibri" w:hAnsi="Calibri"/>
          <w:b/>
          <w:bCs/>
          <w:color w:val="0F766E"/>
          <w:sz w:val="24"/>
          <w:szCs w:val="24"/>
        </w:rPr>
        <w:t xml:space="preserve">11.3 Independent verification</w:t>
      </w:r>
    </w:p>
    <w:p>
      <w:pPr>
        <w:spacing w:after="120" w:before="0" w:line="276"/>
      </w:pPr>
      <w:r>
        <w:rPr>
          <w:rFonts w:ascii="Calibri" w:cs="Calibri" w:eastAsia="Calibri" w:hAnsi="Calibri"/>
          <w:color w:val="1A1A1A"/>
          <w:sz w:val="21"/>
          <w:szCs w:val="21"/>
        </w:rPr>
        <w:t xml:space="preserve">The completed project was subjected to a read-only audit that recomputed the headline metrics from the raw prediction artifacts without using project code, reconstructed shock scores from their stored components, traced processed tables back to the original CSV files, and reviewed the code for leakage and the interface for misleading presentation.</w:t>
      </w:r>
    </w:p>
    <w:tbl>
      <w:tblPr>
        <w:tblW w:type="dxa" w:w="9360"/>
        <w:tblBorders>
          <w:top w:val="single" w:color="C9D2DB" w:sz="2"/>
          <w:left w:val="none"/>
          <w:bottom w:val="single" w:color="C9D2DB" w:sz="2"/>
          <w:right w:val="none"/>
          <w:insideH w:val="single" w:color="DCE3EA" w:sz="1"/>
          <w:insideV w:val="none"/>
        </w:tblBorders>
      </w:tblPr>
      <w:tblGrid>
        <w:gridCol w:w="4900"/>
        <w:gridCol w:w="4460"/>
      </w:tblGrid>
      <w:tr>
        <w:trPr>
          <w:tblHeader/>
        </w:trPr>
        <w:tc>
          <w:tcPr>
            <w:tcW w:type="dxa" w:w="49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Verification</w:t>
            </w:r>
          </w:p>
        </w:tc>
        <w:tc>
          <w:tcPr>
            <w:tcW w:type="dxa" w:w="44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Outcome</w:t>
            </w:r>
          </w:p>
        </w:tc>
      </w:tr>
      <w:tr>
        <w:tc>
          <w:tcPr>
            <w:tcW w:type="dxa" w:w="4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Holdout metrics recomputed independently</w:t>
            </w:r>
          </w:p>
        </w:tc>
        <w:tc>
          <w:tcPr>
            <w:tcW w:type="dxa" w:w="4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Matched to every printed digit</w:t>
            </w:r>
          </w:p>
        </w:tc>
      </w:tr>
      <w:tr>
        <w:tc>
          <w:tcPr>
            <w:tcW w:type="dxa" w:w="4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Interval coverage recomputed</w:t>
            </w:r>
          </w:p>
        </w:tc>
        <w:tc>
          <w:tcPr>
            <w:tcW w:type="dxa" w:w="44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Matched; no ordering violations</w:t>
            </w:r>
          </w:p>
        </w:tc>
      </w:tr>
      <w:tr>
        <w:tc>
          <w:tcPr>
            <w:tcW w:type="dxa" w:w="4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Shock score arithmetic reconstructed</w:t>
            </w:r>
          </w:p>
        </w:tc>
        <w:tc>
          <w:tcPr>
            <w:tcW w:type="dxa" w:w="4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Reconciled on every scored row</w:t>
            </w:r>
          </w:p>
        </w:tc>
      </w:tr>
      <w:tr>
        <w:tc>
          <w:tcPr>
            <w:tcW w:type="dxa" w:w="4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Explanation payload arithmetic</w:t>
            </w:r>
          </w:p>
        </w:tc>
        <w:tc>
          <w:tcPr>
            <w:tcW w:type="dxa" w:w="44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Reconciled on every episode</w:t>
            </w:r>
          </w:p>
        </w:tc>
      </w:tr>
      <w:tr>
        <w:tc>
          <w:tcPr>
            <w:tcW w:type="dxa" w:w="4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Melt and price ingest versus raw CSV</w:t>
            </w:r>
          </w:p>
        </w:tc>
        <w:tc>
          <w:tcPr>
            <w:tcW w:type="dxa" w:w="4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Exact match on all sampled cells</w:t>
            </w:r>
          </w:p>
        </w:tc>
      </w:tr>
      <w:tr>
        <w:tc>
          <w:tcPr>
            <w:tcW w:type="dxa" w:w="4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Ablation fairness</w:t>
            </w:r>
          </w:p>
        </w:tc>
        <w:tc>
          <w:tcPr>
            <w:tcW w:type="dxa" w:w="44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Identical training rows and series in every arm</w:t>
            </w:r>
          </w:p>
        </w:tc>
      </w:tr>
      <w:tr>
        <w:tc>
          <w:tcPr>
            <w:tcW w:type="dxa" w:w="4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Causal language scan</w:t>
            </w:r>
          </w:p>
        </w:tc>
        <w:tc>
          <w:tcPr>
            <w:tcW w:type="dxa" w:w="4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No violations</w:t>
            </w:r>
          </w:p>
        </w:tc>
      </w:tr>
      <w:tr>
        <w:tc>
          <w:tcPr>
            <w:tcW w:type="dxa" w:w="4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Pipeline determinism</w:t>
            </w:r>
          </w:p>
        </w:tc>
        <w:tc>
          <w:tcPr>
            <w:tcW w:type="dxa" w:w="44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Independent re-runs reproduced results to six decimal places</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Audit findings were addressed in full. These included making the executive key performance indicators respond to filters rather than mixing scopes, aligning a disclosure with what the code actually does, flagging incident end dates truncated at the data boundary, hardening the service layer contract, and adding the raw-source provenance tests. The subsequent full-scale re-run reproduced every previously published figure exactly, which confirms the corrections were confined to presentation and disclosure.</w:t>
      </w:r>
    </w:p>
    <w:p>
      <w:r>
        <w:br w:type="page"/>
      </w:r>
    </w:p>
    <w:p>
      <w:pPr>
        <w:pStyle w:val="Heading1"/>
        <w:spacing w:after="160" w:before="360"/>
      </w:pPr>
      <w:r>
        <w:rPr>
          <w:rFonts w:ascii="Calibri" w:cs="Calibri" w:eastAsia="Calibri" w:hAnsi="Calibri"/>
          <w:b/>
          <w:bCs/>
          <w:color w:val="0B3C5D"/>
          <w:sz w:val="30"/>
          <w:szCs w:val="30"/>
        </w:rPr>
        <w:t xml:space="preserve">12. Limitations and Responsible Use</w:t>
      </w:r>
    </w:p>
    <w:p>
      <w:pPr>
        <w:spacing w:after="120" w:before="0" w:line="276"/>
      </w:pPr>
      <w:r>
        <w:rPr>
          <w:rFonts w:ascii="Calibri" w:cs="Calibri" w:eastAsia="Calibri" w:hAnsi="Calibri"/>
          <w:color w:val="1A1A1A"/>
          <w:sz w:val="21"/>
          <w:szCs w:val="21"/>
        </w:rPr>
        <w:t xml:space="preserve">These limitations are documented in the repository, displayed inside the application, and listed by the service layer. They are stated plainly because a decision-support tool that hides its boundaries is more dangerous than one that has them.</w:t>
      </w:r>
    </w:p>
    <w:p>
      <w:pPr>
        <w:pStyle w:val="Heading2"/>
        <w:spacing w:after="120" w:before="260"/>
      </w:pPr>
      <w:r>
        <w:rPr>
          <w:rFonts w:ascii="Calibri" w:cs="Calibri" w:eastAsia="Calibri" w:hAnsi="Calibri"/>
          <w:b/>
          <w:bCs/>
          <w:color w:val="0F766E"/>
          <w:sz w:val="24"/>
          <w:szCs w:val="24"/>
        </w:rPr>
        <w:t xml:space="preserve">12.1 Data limitations</w:t>
      </w:r>
    </w:p>
    <w:p>
      <w:pPr>
        <w:pStyle w:val="ListParagraph"/>
        <w:numPr>
          <w:ilvl w:val="0"/>
          <w:numId w:val="2"/>
        </w:numPr>
        <w:spacing w:after="70" w:line="276"/>
      </w:pPr>
      <w:r>
        <w:rPr>
          <w:rFonts w:ascii="Calibri" w:cs="Calibri" w:eastAsia="Calibri" w:hAnsi="Calibri"/>
          <w:color w:val="1A1A1A"/>
          <w:sz w:val="21"/>
          <w:szCs w:val="21"/>
        </w:rPr>
        <w:t xml:space="preserve">M5 contains no inventory records. Safety stock, reorder points and days of cover therefore depend on operating assumptions the user supplies.</w:t>
      </w:r>
    </w:p>
    <w:p>
      <w:pPr>
        <w:pStyle w:val="ListParagraph"/>
        <w:numPr>
          <w:ilvl w:val="0"/>
          <w:numId w:val="2"/>
        </w:numPr>
        <w:spacing w:after="70" w:line="276"/>
      </w:pPr>
      <w:r>
        <w:rPr>
          <w:rFonts w:ascii="Calibri" w:cs="Calibri" w:eastAsia="Calibri" w:hAnsi="Calibri"/>
          <w:color w:val="1A1A1A"/>
          <w:sz w:val="21"/>
          <w:szCs w:val="21"/>
        </w:rPr>
        <w:t xml:space="preserve">M5 records units sold, not demand. Unmet demand is unobservable, which is why the platform reports exposure rather than lost revenue.</w:t>
      </w:r>
    </w:p>
    <w:p>
      <w:pPr>
        <w:pStyle w:val="ListParagraph"/>
        <w:numPr>
          <w:ilvl w:val="0"/>
          <w:numId w:val="2"/>
        </w:numPr>
        <w:spacing w:after="70" w:line="276"/>
      </w:pPr>
      <w:r>
        <w:rPr>
          <w:rFonts w:ascii="Calibri" w:cs="Calibri" w:eastAsia="Calibri" w:hAnsi="Calibri"/>
          <w:color w:val="1A1A1A"/>
          <w:sz w:val="21"/>
          <w:szCs w:val="21"/>
        </w:rPr>
        <w:t xml:space="preserve">FEMA declarations are county-scoped while M5 discloses only a store's state, so disaster information is a state-level temporal coincidence.</w:t>
      </w:r>
    </w:p>
    <w:p>
      <w:pPr>
        <w:pStyle w:val="ListParagraph"/>
        <w:numPr>
          <w:ilvl w:val="0"/>
          <w:numId w:val="2"/>
        </w:numPr>
        <w:spacing w:after="70" w:line="276"/>
      </w:pPr>
      <w:r>
        <w:rPr>
          <w:rFonts w:ascii="Calibri" w:cs="Calibri" w:eastAsia="Calibri" w:hAnsi="Calibri"/>
          <w:color w:val="1A1A1A"/>
          <w:sz w:val="21"/>
          <w:szCs w:val="21"/>
        </w:rPr>
        <w:t xml:space="preserve">FRED unemployment is monthly and cannot explain a daily deviation; it functions as slow-moving background context.</w:t>
      </w:r>
    </w:p>
    <w:p>
      <w:pPr>
        <w:pStyle w:val="ListParagraph"/>
        <w:numPr>
          <w:ilvl w:val="0"/>
          <w:numId w:val="2"/>
        </w:numPr>
        <w:spacing w:after="70" w:line="276"/>
      </w:pPr>
      <w:r>
        <w:rPr>
          <w:rFonts w:ascii="Calibri" w:cs="Calibri" w:eastAsia="Calibri" w:hAnsi="Calibri"/>
          <w:color w:val="1A1A1A"/>
          <w:sz w:val="21"/>
          <w:szCs w:val="21"/>
        </w:rPr>
        <w:t xml:space="preserve">Weather data is out of scope in this version.</w:t>
      </w:r>
    </w:p>
    <w:p>
      <w:pPr>
        <w:pStyle w:val="Heading2"/>
        <w:spacing w:after="120" w:before="260"/>
      </w:pPr>
      <w:r>
        <w:rPr>
          <w:rFonts w:ascii="Calibri" w:cs="Calibri" w:eastAsia="Calibri" w:hAnsi="Calibri"/>
          <w:b/>
          <w:bCs/>
          <w:color w:val="0F766E"/>
          <w:sz w:val="24"/>
          <w:szCs w:val="24"/>
        </w:rPr>
        <w:t xml:space="preserve">12.2 Methodological limitations</w:t>
      </w:r>
    </w:p>
    <w:p>
      <w:pPr>
        <w:pStyle w:val="ListParagraph"/>
        <w:numPr>
          <w:ilvl w:val="0"/>
          <w:numId w:val="2"/>
        </w:numPr>
        <w:spacing w:after="70" w:line="276"/>
      </w:pPr>
      <w:r>
        <w:rPr>
          <w:rFonts w:ascii="Calibri" w:cs="Calibri" w:eastAsia="Calibri" w:hAnsi="Calibri"/>
          <w:color w:val="1A1A1A"/>
          <w:sz w:val="21"/>
          <w:szCs w:val="21"/>
        </w:rPr>
        <w:t xml:space="preserve">A seven-day-ahead forecast sees demand only as of 28 days earlier, the deliberate cost of the single-model direct design.</w:t>
      </w:r>
    </w:p>
    <w:p>
      <w:pPr>
        <w:pStyle w:val="ListParagraph"/>
        <w:numPr>
          <w:ilvl w:val="0"/>
          <w:numId w:val="2"/>
        </w:numPr>
        <w:spacing w:after="70" w:line="276"/>
      </w:pPr>
      <w:r>
        <w:rPr>
          <w:rFonts w:ascii="Calibri" w:cs="Calibri" w:eastAsia="Calibri" w:hAnsi="Calibri"/>
          <w:color w:val="1A1A1A"/>
          <w:sz w:val="21"/>
          <w:szCs w:val="21"/>
        </w:rPr>
        <w:t xml:space="preserve">FEMA active flags switch off using recorded incident end dates, which are knowable only retrospectively; the onset is strictly point-in-time. This affects only the ablation arms that contain FEMA features, which showed no material gain in any case.</w:t>
      </w:r>
    </w:p>
    <w:p>
      <w:pPr>
        <w:pStyle w:val="ListParagraph"/>
        <w:numPr>
          <w:ilvl w:val="0"/>
          <w:numId w:val="2"/>
        </w:numPr>
        <w:spacing w:after="70" w:line="276"/>
      </w:pPr>
      <w:r>
        <w:rPr>
          <w:rFonts w:ascii="Calibri" w:cs="Calibri" w:eastAsia="Calibri" w:hAnsi="Calibri"/>
          <w:color w:val="1A1A1A"/>
          <w:sz w:val="21"/>
          <w:szCs w:val="21"/>
        </w:rPr>
        <w:t xml:space="preserve">The model and the naive benchmarks are scored on slightly different rows, because the model requires a feature warm-up period that the benchmarks do not.</w:t>
      </w:r>
    </w:p>
    <w:p>
      <w:pPr>
        <w:pStyle w:val="ListParagraph"/>
        <w:numPr>
          <w:ilvl w:val="0"/>
          <w:numId w:val="2"/>
        </w:numPr>
        <w:spacing w:after="70" w:line="276"/>
      </w:pPr>
      <w:r>
        <w:rPr>
          <w:rFonts w:ascii="Calibri" w:cs="Calibri" w:eastAsia="Calibri" w:hAnsi="Calibri"/>
          <w:color w:val="1A1A1A"/>
          <w:sz w:val="21"/>
          <w:szCs w:val="21"/>
        </w:rPr>
        <w:t xml:space="preserve">Shock detection is retrospective: residuals exist only where the model forecast out-of-sample, so every shock shown is a measured historical deviation rather than a prediction of future risk.</w:t>
      </w:r>
    </w:p>
    <w:p>
      <w:pPr>
        <w:pStyle w:val="ListParagraph"/>
        <w:numPr>
          <w:ilvl w:val="0"/>
          <w:numId w:val="2"/>
        </w:numPr>
        <w:spacing w:after="70" w:line="276"/>
      </w:pPr>
      <w:r>
        <w:rPr>
          <w:rFonts w:ascii="Calibri" w:cs="Calibri" w:eastAsia="Calibri" w:hAnsi="Calibri"/>
          <w:color w:val="1A1A1A"/>
          <w:sz w:val="21"/>
          <w:szCs w:val="21"/>
        </w:rPr>
        <w:t xml:space="preserve">Hierarchical aggregation is bottom-up; no formal forecast reconciliation is performed.</w:t>
      </w:r>
    </w:p>
    <w:p>
      <w:pPr>
        <w:pStyle w:val="ListParagraph"/>
        <w:numPr>
          <w:ilvl w:val="0"/>
          <w:numId w:val="2"/>
        </w:numPr>
        <w:spacing w:after="70" w:line="276"/>
      </w:pPr>
      <w:r>
        <w:rPr>
          <w:rFonts w:ascii="Calibri" w:cs="Calibri" w:eastAsia="Calibri" w:hAnsi="Calibri"/>
          <w:color w:val="1A1A1A"/>
          <w:sz w:val="21"/>
          <w:szCs w:val="21"/>
        </w:rPr>
        <w:t xml:space="preserve">No causal inference is attempted. External signals are treated as association only.</w:t>
      </w:r>
    </w:p>
    <w:p>
      <w:pPr>
        <w:pStyle w:val="ListParagraph"/>
        <w:numPr>
          <w:ilvl w:val="0"/>
          <w:numId w:val="2"/>
        </w:numPr>
        <w:spacing w:after="70" w:line="276"/>
      </w:pPr>
      <w:r>
        <w:rPr>
          <w:rFonts w:ascii="Calibri" w:cs="Calibri" w:eastAsia="Calibri" w:hAnsi="Calibri"/>
          <w:color w:val="1A1A1A"/>
          <w:sz w:val="21"/>
          <w:szCs w:val="21"/>
        </w:rPr>
        <w:t xml:space="preserve">The demand shock score is a metric defined by this project, not a validated industry standard, and the application says so on the page.</w:t>
      </w:r>
    </w:p>
    <w:p>
      <w:pPr>
        <w:pStyle w:val="Heading2"/>
        <w:spacing w:after="120" w:before="260"/>
      </w:pPr>
      <w:r>
        <w:rPr>
          <w:rFonts w:ascii="Calibri" w:cs="Calibri" w:eastAsia="Calibri" w:hAnsi="Calibri"/>
          <w:b/>
          <w:bCs/>
          <w:color w:val="0F766E"/>
          <w:sz w:val="24"/>
          <w:szCs w:val="24"/>
        </w:rPr>
        <w:t xml:space="preserve">12.3 Responsible use</w:t>
      </w:r>
    </w:p>
    <w:p>
      <w:pPr>
        <w:spacing w:after="120" w:before="0" w:line="276"/>
      </w:pPr>
      <w:r>
        <w:rPr>
          <w:rFonts w:ascii="Calibri" w:cs="Calibri" w:eastAsia="Calibri" w:hAnsi="Calibri"/>
          <w:color w:val="1A1A1A"/>
          <w:sz w:val="21"/>
          <w:szCs w:val="21"/>
        </w:rPr>
        <w:t xml:space="preserve">The platform is decision support. Forecast uncertainty is displayed rather than hidden, poorly performing segments are surfaced rather than buried, and the ablation verdict is generated from the numbers so it cannot be quietly softened. Human review belongs between any output here and an ordering decision.</w:t>
      </w:r>
    </w:p>
    <w:p>
      <w:r>
        <w:br w:type="page"/>
      </w:r>
    </w:p>
    <w:p>
      <w:pPr>
        <w:pStyle w:val="Heading1"/>
        <w:spacing w:after="160" w:before="360"/>
      </w:pPr>
      <w:r>
        <w:rPr>
          <w:rFonts w:ascii="Calibri" w:cs="Calibri" w:eastAsia="Calibri" w:hAnsi="Calibri"/>
          <w:b/>
          <w:bCs/>
          <w:color w:val="0B3C5D"/>
          <w:sz w:val="30"/>
          <w:szCs w:val="30"/>
        </w:rPr>
        <w:t xml:space="preserve">13. Reproduction</w:t>
      </w:r>
    </w:p>
    <w:p>
      <w:pPr>
        <w:pStyle w:val="Heading2"/>
        <w:spacing w:after="120" w:before="260"/>
      </w:pPr>
      <w:r>
        <w:rPr>
          <w:rFonts w:ascii="Calibri" w:cs="Calibri" w:eastAsia="Calibri" w:hAnsi="Calibri"/>
          <w:b/>
          <w:bCs/>
          <w:color w:val="0F766E"/>
          <w:sz w:val="24"/>
          <w:szCs w:val="24"/>
        </w:rPr>
        <w:t xml:space="preserve">13.1 Environment</w:t>
      </w:r>
    </w:p>
    <w:p>
      <w:pPr>
        <w:spacing w:after="120" w:before="0" w:line="276"/>
      </w:pPr>
      <w:r>
        <w:rPr>
          <w:rFonts w:ascii="Calibri" w:cs="Calibri" w:eastAsia="Calibri" w:hAnsi="Calibri"/>
          <w:color w:val="1A1A1A"/>
          <w:sz w:val="21"/>
          <w:szCs w:val="21"/>
        </w:rPr>
        <w:t xml:space="preserve">Python 3.11 or later. Install dependencies, then run the dependency smoke test, which exercises every library call the pipeline relies on so environment problems surface before anything else runs.</w:t>
      </w:r>
    </w:p>
    <w:p>
      <w:pPr>
        <w:shd w:fill="F7F9FB" w:color="auto" w:val="clear"/>
        <w:spacing w:after="40" w:before="0" w:line="276"/>
      </w:pPr>
      <w:r>
        <w:rPr>
          <w:rFonts w:ascii="Consolas" w:cs="Consolas" w:eastAsia="Consolas" w:hAnsi="Consolas"/>
          <w:color w:val="1A1A1A"/>
          <w:sz w:val="19"/>
          <w:szCs w:val="19"/>
        </w:rPr>
        <w:t xml:space="preserve">pip install -r requirements.txt</w:t>
      </w:r>
    </w:p>
    <w:p>
      <w:pPr>
        <w:shd w:fill="F7F9FB" w:color="auto" w:val="clear"/>
        <w:spacing w:after="120" w:before="0" w:line="276"/>
      </w:pPr>
      <w:r>
        <w:rPr>
          <w:rFonts w:ascii="Consolas" w:cs="Consolas" w:eastAsia="Consolas" w:hAnsi="Consolas"/>
          <w:color w:val="1A1A1A"/>
          <w:sz w:val="19"/>
          <w:szCs w:val="19"/>
        </w:rPr>
        <w:t xml:space="preserve">python scripts/smoke_deps.py</w:t>
      </w:r>
    </w:p>
    <w:p>
      <w:pPr>
        <w:pStyle w:val="Heading2"/>
        <w:spacing w:after="120" w:before="260"/>
      </w:pPr>
      <w:r>
        <w:rPr>
          <w:rFonts w:ascii="Calibri" w:cs="Calibri" w:eastAsia="Calibri" w:hAnsi="Calibri"/>
          <w:b/>
          <w:bCs/>
          <w:color w:val="0F766E"/>
          <w:sz w:val="24"/>
          <w:szCs w:val="24"/>
        </w:rPr>
        <w:t xml:space="preserve">13.2 Build and serve</w:t>
      </w:r>
    </w:p>
    <w:p>
      <w:pPr>
        <w:shd w:fill="F7F9FB" w:color="auto" w:val="clear"/>
        <w:spacing w:after="40" w:before="0" w:line="276"/>
      </w:pPr>
      <w:r>
        <w:rPr>
          <w:rFonts w:ascii="Consolas" w:cs="Consolas" w:eastAsia="Consolas" w:hAnsi="Consolas"/>
          <w:color w:val="1A1A1A"/>
          <w:sz w:val="19"/>
          <w:szCs w:val="19"/>
        </w:rPr>
        <w:t xml:space="preserve">python scripts/run_pipeline.py --mode development</w:t>
      </w:r>
    </w:p>
    <w:p>
      <w:pPr>
        <w:shd w:fill="F7F9FB" w:color="auto" w:val="clear"/>
        <w:spacing w:after="40" w:before="0" w:line="276"/>
      </w:pPr>
      <w:r>
        <w:rPr>
          <w:rFonts w:ascii="Consolas" w:cs="Consolas" w:eastAsia="Consolas" w:hAnsi="Consolas"/>
          <w:color w:val="1A1A1A"/>
          <w:sz w:val="19"/>
          <w:szCs w:val="19"/>
        </w:rPr>
        <w:t xml:space="preserve">streamlit run app/Home.py</w:t>
      </w:r>
    </w:p>
    <w:p>
      <w:pPr>
        <w:shd w:fill="F7F9FB" w:color="auto" w:val="clear"/>
        <w:spacing w:after="40" w:before="0" w:line="276"/>
      </w:pPr>
      <w:r>
        <w:rPr>
          <w:rFonts w:ascii="Consolas" w:cs="Consolas" w:eastAsia="Consolas" w:hAnsi="Consolas"/>
          <w:color w:val="1A1A1A"/>
          <w:sz w:val="19"/>
          <w:szCs w:val="19"/>
        </w:rPr>
        <w:t xml:space="preserve">uvicorn api.main:app --reload</w:t>
      </w:r>
    </w:p>
    <w:p>
      <w:pPr>
        <w:shd w:fill="F7F9FB" w:color="auto" w:val="clear"/>
        <w:spacing w:after="120" w:before="0" w:line="276"/>
      </w:pPr>
      <w:r>
        <w:rPr>
          <w:rFonts w:ascii="Consolas" w:cs="Consolas" w:eastAsia="Consolas" w:hAnsi="Consolas"/>
          <w:color w:val="1A1A1A"/>
          <w:sz w:val="19"/>
          <w:szCs w:val="19"/>
        </w:rPr>
        <w:t xml:space="preserve">python -m pytest</w:t>
      </w:r>
    </w:p>
    <w:p>
      <w:pPr>
        <w:spacing w:after="120" w:before="0" w:line="276"/>
      </w:pPr>
      <w:r>
        <w:rPr>
          <w:rFonts w:ascii="Calibri" w:cs="Calibri" w:eastAsia="Calibri" w:hAnsi="Calibri"/>
          <w:color w:val="1A1A1A"/>
          <w:sz w:val="21"/>
          <w:szCs w:val="21"/>
        </w:rPr>
        <w:t xml:space="preserve">Development mode uses a real subset of the M5 data - one store, one category, a fixed number of real items - so the pipeline completes in minutes. It is a subset of real data, never generated data. Full mode processes all 30,490 series.</w:t>
      </w:r>
    </w:p>
    <w:p>
      <w:pPr>
        <w:pStyle w:val="Heading2"/>
        <w:spacing w:after="120" w:before="260"/>
      </w:pPr>
      <w:r>
        <w:rPr>
          <w:rFonts w:ascii="Calibri" w:cs="Calibri" w:eastAsia="Calibri" w:hAnsi="Calibri"/>
          <w:b/>
          <w:bCs/>
          <w:color w:val="0F766E"/>
          <w:sz w:val="24"/>
          <w:szCs w:val="24"/>
        </w:rPr>
        <w:t xml:space="preserve">13.3 Measured run characteristics</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Stage</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Full-scale duration</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Data preparation and feature engineering</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Approximately 5 minutes</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Training, backtesting and ablation</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Approximately 55 minutes</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Shock scoring and inventory analysis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Approximately 11 minutes</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Complete test suite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Under 2 minutes</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The deploy model was fitted on 21,561,935 training rows with a 730-day training window, converging at iteration 254.</w:t>
      </w:r>
    </w:p>
    <w:p>
      <w:pPr>
        <w:pStyle w:val="Heading1"/>
        <w:spacing w:after="160" w:before="360"/>
      </w:pPr>
      <w:r>
        <w:rPr>
          <w:rFonts w:ascii="Calibri" w:cs="Calibri" w:eastAsia="Calibri" w:hAnsi="Calibri"/>
          <w:b/>
          <w:bCs/>
          <w:color w:val="0B3C5D"/>
          <w:sz w:val="30"/>
          <w:szCs w:val="30"/>
        </w:rPr>
        <w:t xml:space="preserve">14. Conclusion</w:t>
      </w:r>
    </w:p>
    <w:p>
      <w:pPr>
        <w:spacing w:after="120" w:before="0" w:line="276"/>
      </w:pPr>
      <w:r>
        <w:rPr>
          <w:rFonts w:ascii="Calibri" w:cs="Calibri" w:eastAsia="Calibri" w:hAnsi="Calibri"/>
          <w:color w:val="1A1A1A"/>
          <w:sz w:val="21"/>
          <w:szCs w:val="21"/>
        </w:rPr>
        <w:t xml:space="preserve">DemandShock demonstrates an end-to-end applied data science workflow: data engineering at scale, time-series forecasting under strict temporal discipline, anomaly and regime detection, external data integration evaluated on its merits, explainability, inventory decision support, software engineering practice, and executive communication.</w:t>
      </w:r>
    </w:p>
    <w:p>
      <w:pPr>
        <w:spacing w:after="120" w:before="0" w:line="276"/>
      </w:pPr>
      <w:r>
        <w:rPr>
          <w:rFonts w:ascii="Calibri" w:cs="Calibri" w:eastAsia="Calibri" w:hAnsi="Calibri"/>
          <w:color w:val="1A1A1A"/>
          <w:sz w:val="21"/>
          <w:szCs w:val="21"/>
        </w:rPr>
        <w:t xml:space="preserve">The forecasting model measurably outperforms the benchmark that shares its information set, its prediction intervals are well calibrated at scale, and its shock detection produces auditable, individually explainable episodes. Equally important, the project reports honestly where its hypothesis failed: external crisis and economic context did not materially improve point forecasts, the selection rule acted on that evidence, and the finding is displayed rather than concealed.</w:t>
      </w:r>
    </w:p>
    <w:p>
      <w:pPr>
        <w:spacing w:after="120" w:before="0" w:line="276"/>
      </w:pPr>
      <w:r>
        <w:rPr>
          <w:rFonts w:ascii="Calibri" w:cs="Calibri" w:eastAsia="Calibri" w:hAnsi="Calibri"/>
          <w:color w:val="1A1A1A"/>
          <w:sz w:val="21"/>
          <w:szCs w:val="21"/>
        </w:rPr>
        <w:t xml:space="preserve">The result is a platform whose numbers can be traced from the interface back through the artifacts to the original source files, and which states its limitations as clearly as its results.</w:t>
      </w:r>
    </w:p>
    <w:p>
      <w:pPr>
        <w:spacing w:after="0" w:before="0" w:line="276"/>
      </w:pPr>
      <w:r>
        <w:rPr>
          <w:rFonts w:ascii="Calibri" w:cs="Calibri" w:eastAsia="Calibri" w:hAnsi="Calibri"/>
          <w:color w:val="1A1A1A"/>
          <w:sz w:val="21"/>
          <w:szCs w:val="21"/>
        </w:rPr>
        <w:t xml:space="preserve"/>
      </w:r>
    </w:p>
    <w:p>
      <w:pPr>
        <w:spacing w:after="120" w:before="0" w:line="276"/>
        <w:jc w:val="center"/>
      </w:pPr>
      <w:r>
        <w:rPr>
          <w:rFonts w:ascii="Calibri" w:cs="Calibri" w:eastAsia="Calibri" w:hAnsi="Calibri"/>
          <w:i/>
          <w:iCs/>
          <w:color w:val="5A6672"/>
          <w:sz w:val="21"/>
          <w:szCs w:val="21"/>
        </w:rPr>
        <w:t xml:space="preserve">End of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6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6"/>
      </w:pBdr>
      <w:jc w:val="right"/>
    </w:pPr>
    <w:r>
      <w:rPr>
        <w:rFonts w:ascii="Calibri" w:cs="Calibri" w:eastAsia="Calibri" w:hAnsi="Calibri"/>
        <w:color w:val="5A6672"/>
        <w:sz w:val="17"/>
        <w:szCs w:val="17"/>
      </w:rPr>
      <w:t xml:space="preserve">DemandShock - Technical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DemandShock - Technical Project Report</dc:title>
  <dc:creator>DemandShock</dc:creator>
  <dc:description>Crisis-Aware Demand Forecasting &amp; Inventory Intelligence Platform</dc:description>
  <cp:lastModifiedBy>Un-named</cp:lastModifiedBy>
  <cp:revision>1</cp:revision>
  <dcterms:created xsi:type="dcterms:W3CDTF">2026-08-04T01:16:20.398Z</dcterms:created>
  <dcterms:modified xsi:type="dcterms:W3CDTF">2026-08-04T01:16:20.399Z</dcterms:modified>
</cp:coreProperties>
</file>

<file path=docProps/custom.xml><?xml version="1.0" encoding="utf-8"?>
<Properties xmlns="http://schemas.openxmlformats.org/officeDocument/2006/custom-properties" xmlns:vt="http://schemas.openxmlformats.org/officeDocument/2006/docPropsVTypes"/>
</file>