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3AAFF" w14:textId="7C176D47" w:rsidR="00826D33" w:rsidRDefault="00826D33" w:rsidP="00826D33">
      <w:pPr>
        <w:jc w:val="center"/>
      </w:pPr>
      <w:r>
        <w:rPr>
          <w:b/>
          <w:sz w:val="32"/>
        </w:rPr>
        <w:t>CSA16 – DATA WAREHOUSING AND DATA MINING</w:t>
      </w:r>
      <w:r>
        <w:rPr>
          <w:b/>
          <w:sz w:val="28"/>
        </w:rPr>
        <w:br/>
        <w:t>REAL-WORLD PROBLEM-BASED ASSIGNMENT</w:t>
      </w:r>
      <w:r>
        <w:rPr>
          <w:b/>
          <w:sz w:val="36"/>
        </w:rPr>
        <w:br/>
      </w:r>
      <w:r>
        <w:rPr>
          <w:b/>
          <w:sz w:val="36"/>
        </w:rPr>
        <w:br/>
        <w:t>INTELLIGENT CONSUMER-TRUST ANALYTICS FOR INDIA'S E-COMMERCE &amp; QUICK-COMMERCE ECOSYSTEM</w:t>
      </w:r>
      <w:r>
        <w:rPr>
          <w:b/>
          <w:sz w:val="28"/>
        </w:rPr>
        <w:br/>
      </w:r>
      <w:r>
        <w:rPr>
          <w:b/>
          <w:sz w:val="28"/>
        </w:rPr>
        <w:br/>
        <w:t>Project Report</w:t>
      </w:r>
      <w:r>
        <w:br/>
      </w:r>
      <w:r>
        <w:br/>
        <w:t>Submitted in partial fulfillment of the requirements for the course</w:t>
      </w:r>
      <w:r>
        <w:br/>
      </w:r>
      <w:r>
        <w:br/>
      </w:r>
      <w:r>
        <w:br/>
        <w:t xml:space="preserve">Submitted by: </w:t>
      </w:r>
      <w:proofErr w:type="spellStart"/>
      <w:r>
        <w:t>Muthupandi</w:t>
      </w:r>
      <w:proofErr w:type="spellEnd"/>
      <w:r>
        <w:t xml:space="preserve"> C</w:t>
      </w:r>
      <w:r>
        <w:br/>
        <w:t xml:space="preserve">Register No.: </w:t>
      </w:r>
      <w:r>
        <w:t>192565037</w:t>
      </w:r>
      <w:r>
        <w:br/>
      </w:r>
      <w:r>
        <w:br/>
      </w:r>
      <w:r>
        <w:br/>
      </w:r>
      <w:r>
        <w:br/>
        <w:t xml:space="preserve">Department: </w:t>
      </w:r>
      <w:r>
        <w:t>CSE CS</w:t>
      </w:r>
      <w:r>
        <w:br/>
        <w:t xml:space="preserve">College: </w:t>
      </w:r>
      <w:r>
        <w:t>SIMATS</w:t>
      </w:r>
      <w:r>
        <w:br/>
        <w:t>Academic Year: 2026–2027</w:t>
      </w:r>
    </w:p>
    <w:p w14:paraId="6B7DDE0B" w14:textId="77777777" w:rsidR="00826D33" w:rsidRDefault="00826D33">
      <w:pPr>
        <w:pStyle w:val="Heading1"/>
        <w:jc w:val="both"/>
        <w:rPr>
          <w:rFonts w:ascii="Times New Roman" w:eastAsia="Times New Roman" w:hAnsi="Times New Roman"/>
        </w:rPr>
      </w:pPr>
    </w:p>
    <w:p w14:paraId="7AB9EAEE" w14:textId="77777777" w:rsidR="00826D33" w:rsidRDefault="00826D33" w:rsidP="00826D33"/>
    <w:p w14:paraId="69B95CD8" w14:textId="77777777" w:rsidR="00826D33" w:rsidRPr="00826D33" w:rsidRDefault="00826D33" w:rsidP="00826D33"/>
    <w:p w14:paraId="5CC0E3EE" w14:textId="0ED3B971" w:rsidR="008D31CC" w:rsidRDefault="0091406E" w:rsidP="00826D33">
      <w:pPr>
        <w:pStyle w:val="Heading1"/>
        <w:jc w:val="center"/>
      </w:pPr>
      <w:r>
        <w:rPr>
          <w:rFonts w:ascii="Times New Roman" w:eastAsia="Times New Roman" w:hAnsi="Times New Roman"/>
        </w:rPr>
        <w:lastRenderedPageBreak/>
        <w:t>ABSTRACT</w:t>
      </w:r>
    </w:p>
    <w:p w14:paraId="6EF50E1B" w14:textId="77777777" w:rsidR="008D31CC" w:rsidRDefault="0091406E">
      <w:pPr>
        <w:jc w:val="both"/>
      </w:pPr>
      <w:r>
        <w:t>India's e-commerce and quick-commerce ecosystem generates large volumes of operational data from orders, customers, products, sellers, inventory, delivery, payments, returns, refunds and customer-support systems. Consumer problems such as delayed delivery, missing products, defective products and delayed refunds are often addressed only after a complaint is registered. This project proposes an Intelligent Consumer-Trust Analytics framework that integrates heterogeneous data through a dimensional Data Wareho</w:t>
      </w:r>
      <w:r>
        <w:t>use and applies OLAP and Data Mining techniques to identify high-risk orders and operational conditions before grievances escalate.</w:t>
      </w:r>
      <w:r>
        <w:br/>
      </w:r>
      <w:r>
        <w:br/>
      </w:r>
      <w:r>
        <w:t>The proposed system includes an ETL pipeline for removing duplicates, handling missing values, standardizing identifiers, detecting abnormal timestamps and resolving conflicting refund statuses. A Consumer Trust Risk Index is engineered using measurable indicators including complaint-to-order ratio, refund-delay rate, return frequency, delivery deviation, seller defect rate, product-category risk, order velocity and repeated complaint patterns. Decision Tree, Naïve Bayes and Support Vector Machine classifie</w:t>
      </w:r>
      <w:r>
        <w:t>rs are proposed for predicting high-risk orders. The models are evaluated using accuracy, precision, recall, F1-score, confusion matrix, cross-validation and ROC-AUC where supported. The system is designed as an explainable early-warning decision-support framework rather than an automated mechanism for denying refunds or penalizing customers. The proposed intervention strategy supports risk-based inspection, seller audit prioritization, proactive refund verification and delivery-zone monitoring.</w:t>
      </w:r>
    </w:p>
    <w:p w14:paraId="4A2B0A2F" w14:textId="77777777" w:rsidR="008D31CC" w:rsidRDefault="0091406E">
      <w:pPr>
        <w:jc w:val="both"/>
      </w:pPr>
      <w:r>
        <w:t>Keywords: Data Warehouse, Data Mining, E-Commerce, Quick-Commerce, ETL, OLAP, Consumer Trust, Classification, Risk Prediction, Weka.</w:t>
      </w:r>
    </w:p>
    <w:p w14:paraId="703287F6" w14:textId="77777777" w:rsidR="008D31CC" w:rsidRDefault="0091406E">
      <w:pPr>
        <w:jc w:val="both"/>
      </w:pPr>
      <w:r>
        <w:br w:type="page"/>
      </w:r>
    </w:p>
    <w:p w14:paraId="5D96CEDE" w14:textId="77777777" w:rsidR="008D31CC" w:rsidRDefault="0091406E" w:rsidP="00826D33">
      <w:pPr>
        <w:pStyle w:val="Heading1"/>
        <w:jc w:val="center"/>
      </w:pPr>
      <w:r>
        <w:rPr>
          <w:rFonts w:ascii="Times New Roman" w:eastAsia="Times New Roman" w:hAnsi="Times New Roman"/>
        </w:rPr>
        <w:lastRenderedPageBreak/>
        <w:t>CHAPTER 1: INTRODUCTION</w:t>
      </w:r>
    </w:p>
    <w:p w14:paraId="7D8B0711" w14:textId="77777777" w:rsidR="008D31CC" w:rsidRDefault="0091406E">
      <w:pPr>
        <w:pStyle w:val="Heading2"/>
      </w:pPr>
      <w:r>
        <w:rPr>
          <w:rFonts w:ascii="Times New Roman" w:eastAsia="Times New Roman" w:hAnsi="Times New Roman"/>
        </w:rPr>
        <w:t>1.1 Background</w:t>
      </w:r>
    </w:p>
    <w:p w14:paraId="599B1102" w14:textId="77777777" w:rsidR="008D31CC" w:rsidRDefault="0091406E">
      <w:pPr>
        <w:jc w:val="both"/>
      </w:pPr>
      <w:r>
        <w:t>India's e-commerce and quick-commerce sectors are expanding rapidly. A single retailer may generate millions of records from different operational systems every day. These systems are often isolated, making it difficult to obtain an integrated view of consumer risk. Problems such as non-delivery, wrong products, damaged products, missing products, delayed refunds and repeated seller defects can escalate into consumer grievances if they are not detected early.</w:t>
      </w:r>
    </w:p>
    <w:p w14:paraId="2CE8610E" w14:textId="77777777" w:rsidR="008D31CC" w:rsidRDefault="0091406E">
      <w:pPr>
        <w:pStyle w:val="Heading2"/>
      </w:pPr>
      <w:r>
        <w:rPr>
          <w:rFonts w:ascii="Times New Roman" w:eastAsia="Times New Roman" w:hAnsi="Times New Roman"/>
        </w:rPr>
        <w:t>1.2 Problem Statement</w:t>
      </w:r>
    </w:p>
    <w:p w14:paraId="69E01C11" w14:textId="77777777" w:rsidR="008D31CC" w:rsidRDefault="0091406E">
      <w:pPr>
        <w:jc w:val="both"/>
      </w:pPr>
      <w:r>
        <w:t>The organization currently reacts after consumers report problems. The central challenge is to integrate heterogeneous operational data and predict high-risk orders, sellers, products, delivery zones and complaint patterns before a grievance escalates, while avoiding unfairly flagging genuine customers.</w:t>
      </w:r>
    </w:p>
    <w:p w14:paraId="55A1AB0A" w14:textId="77777777" w:rsidR="008D31CC" w:rsidRDefault="0091406E">
      <w:pPr>
        <w:pStyle w:val="Heading2"/>
      </w:pPr>
      <w:r>
        <w:rPr>
          <w:rFonts w:ascii="Times New Roman" w:eastAsia="Times New Roman" w:hAnsi="Times New Roman"/>
        </w:rPr>
        <w:t>1.3 Objectives</w:t>
      </w:r>
    </w:p>
    <w:p w14:paraId="362B89EE" w14:textId="77777777" w:rsidR="008D31CC" w:rsidRDefault="0091406E">
      <w:r>
        <w:t>10. Propose an actionable intervention strategy.</w:t>
      </w:r>
    </w:p>
    <w:p w14:paraId="3F574D7F" w14:textId="77777777" w:rsidR="008D31CC" w:rsidRDefault="0091406E">
      <w:r>
        <w:t>9. Conduct ethics and robustness analysis.</w:t>
      </w:r>
    </w:p>
    <w:p w14:paraId="1344D968" w14:textId="77777777" w:rsidR="008D31CC" w:rsidRDefault="0091406E">
      <w:r>
        <w:t>8. Develop an early-warning dashboard concept.</w:t>
      </w:r>
    </w:p>
    <w:p w14:paraId="53551D35" w14:textId="77777777" w:rsidR="008D31CC" w:rsidRDefault="0091406E">
      <w:r>
        <w:t>7. Evaluate models using multiple metrics.</w:t>
      </w:r>
    </w:p>
    <w:p w14:paraId="034E5D77" w14:textId="77777777" w:rsidR="008D31CC" w:rsidRDefault="0091406E">
      <w:r>
        <w:t>6. Compare Decision Tree, Naïve Bayes and SVM classifiers.</w:t>
      </w:r>
    </w:p>
    <w:p w14:paraId="70643E39" w14:textId="77777777" w:rsidR="008D31CC" w:rsidRDefault="0091406E">
      <w:r>
        <w:t>5. Develop a Consumer Trust Risk Index.</w:t>
      </w:r>
    </w:p>
    <w:p w14:paraId="50B4000D" w14:textId="77777777" w:rsidR="008D31CC" w:rsidRDefault="0091406E">
      <w:r>
        <w:t>4. Demonstrate OLAP operations.</w:t>
      </w:r>
    </w:p>
    <w:p w14:paraId="2472E07F" w14:textId="77777777" w:rsidR="008D31CC" w:rsidRDefault="0091406E">
      <w:r>
        <w:t>3. Perform data cleaning, transformation, reduction and discretization.</w:t>
      </w:r>
    </w:p>
    <w:p w14:paraId="661B1F95" w14:textId="77777777" w:rsidR="008D31CC" w:rsidRDefault="0091406E">
      <w:r>
        <w:t>2. Integrate Orders, Customers, Products/Sellers, Inventory, Delivery, Payments and Returns/Complaints data.</w:t>
      </w:r>
    </w:p>
    <w:p w14:paraId="399780DA" w14:textId="77777777" w:rsidR="008D31CC" w:rsidRDefault="0091406E">
      <w:r>
        <w:t>1. Design a dimensional Data Warehouse for decision support.</w:t>
      </w:r>
    </w:p>
    <w:p w14:paraId="0437105A" w14:textId="77777777" w:rsidR="008D31CC" w:rsidRDefault="0091406E">
      <w:pPr>
        <w:pStyle w:val="Heading2"/>
      </w:pPr>
      <w:r>
        <w:rPr>
          <w:rFonts w:ascii="Times New Roman" w:eastAsia="Times New Roman" w:hAnsi="Times New Roman"/>
        </w:rPr>
        <w:lastRenderedPageBreak/>
        <w:t>1.4 Research Hypothesis</w:t>
      </w:r>
    </w:p>
    <w:p w14:paraId="4F7B086A" w14:textId="77777777" w:rsidR="008D31CC" w:rsidRDefault="0091406E">
      <w:pPr>
        <w:jc w:val="both"/>
      </w:pPr>
      <w:r>
        <w:t>H1: Integrating multiple operational data sources improves the early identification of high-risk consumer transactions compared with isolated sales analysis.</w:t>
      </w:r>
    </w:p>
    <w:p w14:paraId="3DFE9B6E" w14:textId="77777777" w:rsidR="008D31CC" w:rsidRDefault="0091406E">
      <w:pPr>
        <w:jc w:val="both"/>
      </w:pPr>
      <w:r>
        <w:t>H2: Classification models based on consumer-trust features can support proactive complaint prevention and more effective managerial decisions.</w:t>
      </w:r>
    </w:p>
    <w:p w14:paraId="6B9DAB64" w14:textId="77777777" w:rsidR="008D31CC" w:rsidRDefault="0091406E">
      <w:pPr>
        <w:pStyle w:val="Heading2"/>
      </w:pPr>
      <w:r>
        <w:rPr>
          <w:rFonts w:ascii="Times New Roman" w:eastAsia="Times New Roman" w:hAnsi="Times New Roman"/>
        </w:rPr>
        <w:t>1.5 Scope</w:t>
      </w:r>
    </w:p>
    <w:p w14:paraId="1AC512C4" w14:textId="77777777" w:rsidR="008D31CC" w:rsidRDefault="0091406E">
      <w:pPr>
        <w:jc w:val="both"/>
      </w:pPr>
      <w:r>
        <w:t>The project focuses on consumer-protection risks in Indian e-commerce and quick-commerce operations, particularly orders, sellers, products, delivery performance, returns, refunds and complaints. The proposed model is intended for decision support and human investigation.</w:t>
      </w:r>
    </w:p>
    <w:p w14:paraId="156DB15D" w14:textId="77777777" w:rsidR="008D31CC" w:rsidRDefault="0091406E">
      <w:pPr>
        <w:jc w:val="both"/>
      </w:pPr>
      <w:r>
        <w:br w:type="page"/>
      </w:r>
    </w:p>
    <w:p w14:paraId="2C39ED31" w14:textId="77777777" w:rsidR="008D31CC" w:rsidRDefault="0091406E" w:rsidP="00826D33">
      <w:pPr>
        <w:pStyle w:val="Heading1"/>
        <w:jc w:val="center"/>
      </w:pPr>
      <w:r>
        <w:rPr>
          <w:rFonts w:ascii="Times New Roman" w:eastAsia="Times New Roman" w:hAnsi="Times New Roman"/>
        </w:rPr>
        <w:lastRenderedPageBreak/>
        <w:t>CHAPTER 2: SYSTEM ARCHITECTURE AND DATA SOURCES</w:t>
      </w:r>
    </w:p>
    <w:p w14:paraId="454D3150" w14:textId="77777777" w:rsidR="008D31CC" w:rsidRDefault="0091406E">
      <w:pPr>
        <w:pStyle w:val="Heading2"/>
      </w:pPr>
      <w:r>
        <w:rPr>
          <w:rFonts w:ascii="Times New Roman" w:eastAsia="Times New Roman" w:hAnsi="Times New Roman"/>
        </w:rPr>
        <w:t>2.1 Heterogeneous Sources</w:t>
      </w:r>
    </w:p>
    <w:p w14:paraId="3D69B2F6" w14:textId="77777777" w:rsidR="008D31CC" w:rsidRDefault="0091406E">
      <w:pPr>
        <w:jc w:val="both"/>
      </w:pPr>
      <w:r>
        <w:t>The framework integrates at least six heterogeneous sources: Orders, Customers, Products/Sellers, Inventory, Delivery, Payments and Returns/Complaints. Additional refund and customer-support information can also be incorporated.</w:t>
      </w:r>
    </w:p>
    <w:p w14:paraId="1B036C99" w14:textId="77777777" w:rsidR="008D31CC" w:rsidRDefault="0091406E">
      <w:pPr>
        <w:pStyle w:val="Heading2"/>
      </w:pPr>
      <w:r>
        <w:rPr>
          <w:rFonts w:ascii="Times New Roman" w:eastAsia="Times New Roman" w:hAnsi="Times New Roman"/>
        </w:rPr>
        <w:t>2.2 Proposed Architecture</w:t>
      </w:r>
    </w:p>
    <w:p w14:paraId="6D69EC44" w14:textId="77777777" w:rsidR="008D31CC" w:rsidRDefault="0091406E">
      <w:pPr>
        <w:jc w:val="both"/>
      </w:pPr>
      <w:r>
        <w:t>Operational data are extracted from source systems and passed through an ETL layer. Cleaned and integrated data are loaded into the Data Warehouse. OLAP cubes and Data Mining models analyze the data. The final output is delivered through an actionable early-warning dashboard.</w:t>
      </w:r>
    </w:p>
    <w:p w14:paraId="1399DFDF" w14:textId="77777777" w:rsidR="008D31CC" w:rsidRDefault="0091406E">
      <w:pPr>
        <w:pStyle w:val="Heading2"/>
      </w:pPr>
      <w:r>
        <w:rPr>
          <w:rFonts w:ascii="Times New Roman" w:eastAsia="Times New Roman" w:hAnsi="Times New Roman"/>
        </w:rPr>
        <w:t>2.3 Data Sources</w:t>
      </w:r>
    </w:p>
    <w:p w14:paraId="112E2889" w14:textId="77777777" w:rsidR="008D31CC" w:rsidRDefault="0091406E">
      <w:pPr>
        <w:jc w:val="both"/>
      </w:pPr>
      <w:r>
        <w:t>Orders provide transaction details. Customers provide customer and geographic information. Products and Sellers provide merchandise and supplier information. Inventory records stock availability. Delivery records expected and actual delivery times. Payments contain transaction status. Returns and Refunds contain post-purchase outcomes. Complaints contain complaint type, status and resolution information.</w:t>
      </w:r>
    </w:p>
    <w:p w14:paraId="32D5BDED" w14:textId="77777777" w:rsidR="008D31CC" w:rsidRDefault="0091406E">
      <w:pPr>
        <w:jc w:val="both"/>
      </w:pPr>
      <w:r>
        <w:br w:type="page"/>
      </w:r>
    </w:p>
    <w:p w14:paraId="4CE402BD" w14:textId="77777777" w:rsidR="008D31CC" w:rsidRDefault="0091406E" w:rsidP="00826D33">
      <w:pPr>
        <w:pStyle w:val="Heading1"/>
        <w:jc w:val="center"/>
      </w:pPr>
      <w:r>
        <w:rPr>
          <w:rFonts w:ascii="Times New Roman" w:eastAsia="Times New Roman" w:hAnsi="Times New Roman"/>
        </w:rPr>
        <w:lastRenderedPageBreak/>
        <w:t>CHAPTER 3: DATA WAREHOUSE DESIGN</w:t>
      </w:r>
    </w:p>
    <w:p w14:paraId="6249FE1A" w14:textId="77777777" w:rsidR="008D31CC" w:rsidRDefault="0091406E">
      <w:pPr>
        <w:pStyle w:val="Heading2"/>
      </w:pPr>
      <w:r>
        <w:rPr>
          <w:rFonts w:ascii="Times New Roman" w:eastAsia="Times New Roman" w:hAnsi="Times New Roman"/>
        </w:rPr>
        <w:t>3.1 Warehouse Grain</w:t>
      </w:r>
    </w:p>
    <w:p w14:paraId="4BA6056F" w14:textId="77777777" w:rsidR="008D31CC" w:rsidRDefault="0091406E">
      <w:pPr>
        <w:jc w:val="both"/>
      </w:pPr>
      <w:r>
        <w:t>The primary grain is defined as one record for one customer order and its associated operational outcome. This grain supports order-level prediction while allowing aggregation by seller, product, location and time.</w:t>
      </w:r>
    </w:p>
    <w:p w14:paraId="3B2B52EF" w14:textId="77777777" w:rsidR="008D31CC" w:rsidRDefault="0091406E">
      <w:pPr>
        <w:pStyle w:val="Heading2"/>
      </w:pPr>
      <w:r>
        <w:rPr>
          <w:rFonts w:ascii="Times New Roman" w:eastAsia="Times New Roman" w:hAnsi="Times New Roman"/>
        </w:rPr>
        <w:t>3.2 Fact Table</w:t>
      </w:r>
    </w:p>
    <w:p w14:paraId="08196BFA" w14:textId="77777777" w:rsidR="008D31CC" w:rsidRDefault="0091406E">
      <w:pPr>
        <w:jc w:val="both"/>
      </w:pPr>
      <w:r>
        <w:t>Fact_Order_Risk stores measures such as Order_Value, Quantity, Delivery_Delay, Refund_Delay, Return_Count, Complaint_Flag, CTRI_Score and High_Risk_Flag.</w:t>
      </w:r>
    </w:p>
    <w:p w14:paraId="524FFE6E" w14:textId="77777777" w:rsidR="008D31CC" w:rsidRDefault="0091406E">
      <w:pPr>
        <w:pStyle w:val="Heading2"/>
      </w:pPr>
      <w:r>
        <w:rPr>
          <w:rFonts w:ascii="Times New Roman" w:eastAsia="Times New Roman" w:hAnsi="Times New Roman"/>
        </w:rPr>
        <w:t>3.3 Dimension Tables</w:t>
      </w:r>
    </w:p>
    <w:p w14:paraId="61E0AD08" w14:textId="77777777" w:rsidR="008D31CC" w:rsidRDefault="0091406E">
      <w:pPr>
        <w:jc w:val="both"/>
      </w:pPr>
      <w:r>
        <w:t>Dim_Customer, Dim_Product, Dim_Seller, Dim_Date, Dim_Location, Dim_Delivery and Dim_Payment provide descriptive context for analytical queries.</w:t>
      </w:r>
    </w:p>
    <w:p w14:paraId="035AFB67" w14:textId="77777777" w:rsidR="008D31CC" w:rsidRDefault="0091406E">
      <w:pPr>
        <w:pStyle w:val="Heading2"/>
      </w:pPr>
      <w:r>
        <w:rPr>
          <w:rFonts w:ascii="Times New Roman" w:eastAsia="Times New Roman" w:hAnsi="Times New Roman"/>
        </w:rPr>
        <w:t>3.4 Star Schema</w:t>
      </w:r>
    </w:p>
    <w:p w14:paraId="546B5CAF" w14:textId="77777777" w:rsidR="008D31CC" w:rsidRDefault="0091406E">
      <w:pPr>
        <w:jc w:val="both"/>
      </w:pPr>
      <w:r>
        <w:t>The central Fact_Order_Risk table is linked to Customer, Product, Seller, Date, Location, Delivery and Payment dimensions. This design supports fast analytical queries and flexible OLAP analysis.</w:t>
      </w:r>
    </w:p>
    <w:p w14:paraId="35CF7D3E" w14:textId="77777777" w:rsidR="008D31CC" w:rsidRDefault="0091406E">
      <w:pPr>
        <w:jc w:val="both"/>
      </w:pPr>
      <w:r>
        <w:br w:type="page"/>
      </w:r>
    </w:p>
    <w:p w14:paraId="74047AED" w14:textId="77777777" w:rsidR="008D31CC" w:rsidRDefault="0091406E" w:rsidP="00826D33">
      <w:pPr>
        <w:pStyle w:val="Heading1"/>
        <w:jc w:val="center"/>
      </w:pPr>
      <w:r>
        <w:rPr>
          <w:rFonts w:ascii="Times New Roman" w:eastAsia="Times New Roman" w:hAnsi="Times New Roman"/>
        </w:rPr>
        <w:lastRenderedPageBreak/>
        <w:t>CHAPTER 4: ETL AND DATA QUALITY</w:t>
      </w:r>
    </w:p>
    <w:p w14:paraId="6AECDA45" w14:textId="77777777" w:rsidR="008D31CC" w:rsidRDefault="0091406E">
      <w:pPr>
        <w:pStyle w:val="Heading2"/>
      </w:pPr>
      <w:r>
        <w:rPr>
          <w:rFonts w:ascii="Times New Roman" w:eastAsia="Times New Roman" w:hAnsi="Times New Roman"/>
        </w:rPr>
        <w:t>4.1 Extraction</w:t>
      </w:r>
    </w:p>
    <w:p w14:paraId="1B7E72CB" w14:textId="77777777" w:rsidR="008D31CC" w:rsidRDefault="0091406E">
      <w:pPr>
        <w:jc w:val="both"/>
      </w:pPr>
      <w:r>
        <w:t>Data may be extracted from CSV files, Excel files, relational databases, APIs and application logs.</w:t>
      </w:r>
    </w:p>
    <w:p w14:paraId="5D06949C" w14:textId="77777777" w:rsidR="008D31CC" w:rsidRDefault="0091406E">
      <w:pPr>
        <w:pStyle w:val="Heading2"/>
      </w:pPr>
      <w:r>
        <w:rPr>
          <w:rFonts w:ascii="Times New Roman" w:eastAsia="Times New Roman" w:hAnsi="Times New Roman"/>
        </w:rPr>
        <w:t>4.2 Data Cleaning</w:t>
      </w:r>
    </w:p>
    <w:p w14:paraId="60800DB8" w14:textId="77777777" w:rsidR="008D31CC" w:rsidRDefault="0091406E">
      <w:pPr>
        <w:jc w:val="both"/>
      </w:pPr>
      <w:r>
        <w:t>Duplicate records are removed using transaction identifiers and relevant attributes. Missing numerical values are handled using suitable statistical methods, while missing categorical values may be represented as Unknown where appropriate.</w:t>
      </w:r>
    </w:p>
    <w:p w14:paraId="2B9B3F03" w14:textId="77777777" w:rsidR="008D31CC" w:rsidRDefault="0091406E">
      <w:pPr>
        <w:pStyle w:val="Heading2"/>
      </w:pPr>
      <w:r>
        <w:rPr>
          <w:rFonts w:ascii="Times New Roman" w:eastAsia="Times New Roman" w:hAnsi="Times New Roman"/>
        </w:rPr>
        <w:t>4.3 Identifier Standardization</w:t>
      </w:r>
    </w:p>
    <w:p w14:paraId="7DCD1088" w14:textId="77777777" w:rsidR="008D31CC" w:rsidRDefault="0091406E">
      <w:pPr>
        <w:jc w:val="both"/>
      </w:pPr>
      <w:r>
        <w:t>Seller and product identifiers are standardized to ensure that values such as SELL001, Seller-001 and seller001 are mapped correctly when they represent the same entity.</w:t>
      </w:r>
    </w:p>
    <w:p w14:paraId="3F002552" w14:textId="77777777" w:rsidR="008D31CC" w:rsidRDefault="0091406E">
      <w:pPr>
        <w:pStyle w:val="Heading2"/>
      </w:pPr>
      <w:r>
        <w:rPr>
          <w:rFonts w:ascii="Times New Roman" w:eastAsia="Times New Roman" w:hAnsi="Times New Roman"/>
        </w:rPr>
        <w:t>4.4 Timestamp Validation</w:t>
      </w:r>
    </w:p>
    <w:p w14:paraId="03A494A2" w14:textId="77777777" w:rsidR="008D31CC" w:rsidRDefault="0091406E">
      <w:pPr>
        <w:jc w:val="both"/>
      </w:pPr>
      <w:r>
        <w:t>Chronological relationships are checked. Examples of abnormal records include delivery before order date, refund before return date and complaint dates preceding the associated transaction.</w:t>
      </w:r>
    </w:p>
    <w:p w14:paraId="5BE6B629" w14:textId="77777777" w:rsidR="008D31CC" w:rsidRDefault="0091406E">
      <w:pPr>
        <w:pStyle w:val="Heading2"/>
      </w:pPr>
      <w:r>
        <w:rPr>
          <w:rFonts w:ascii="Times New Roman" w:eastAsia="Times New Roman" w:hAnsi="Times New Roman"/>
        </w:rPr>
        <w:t>4.5 Refund Status Conflicts</w:t>
      </w:r>
    </w:p>
    <w:p w14:paraId="3CE71C49" w14:textId="77777777" w:rsidR="008D31CC" w:rsidRDefault="0091406E">
      <w:pPr>
        <w:jc w:val="both"/>
      </w:pPr>
      <w:r>
        <w:t>When multiple systems contain conflicting refund information, a trusted-source hierarchy and validated transaction timestamps are used to determine the appropriate analytical status.</w:t>
      </w:r>
    </w:p>
    <w:p w14:paraId="0934EAC0" w14:textId="77777777" w:rsidR="008D31CC" w:rsidRDefault="0091406E">
      <w:pPr>
        <w:pStyle w:val="Heading2"/>
      </w:pPr>
      <w:r>
        <w:rPr>
          <w:rFonts w:ascii="Times New Roman" w:eastAsia="Times New Roman" w:hAnsi="Times New Roman"/>
        </w:rPr>
        <w:t>4.6 Transformation and Discretization</w:t>
      </w:r>
    </w:p>
    <w:p w14:paraId="4E1E6D24" w14:textId="77777777" w:rsidR="008D31CC" w:rsidRDefault="0091406E">
      <w:pPr>
        <w:jc w:val="both"/>
      </w:pPr>
      <w:r>
        <w:t>Derived variables include delivery delay, refund delay, complaint flag and risk indicators. Continuous variables may be discretized into Low, Medium and High categories when required by the analysis.</w:t>
      </w:r>
    </w:p>
    <w:p w14:paraId="004DCA0F" w14:textId="77777777" w:rsidR="008D31CC" w:rsidRDefault="0091406E">
      <w:pPr>
        <w:jc w:val="both"/>
      </w:pPr>
      <w:r>
        <w:br w:type="page"/>
      </w:r>
    </w:p>
    <w:p w14:paraId="434D5BF8" w14:textId="77777777" w:rsidR="008D31CC" w:rsidRDefault="0091406E" w:rsidP="00826D33">
      <w:pPr>
        <w:pStyle w:val="Heading1"/>
        <w:jc w:val="center"/>
      </w:pPr>
      <w:r>
        <w:rPr>
          <w:rFonts w:ascii="Times New Roman" w:eastAsia="Times New Roman" w:hAnsi="Times New Roman"/>
        </w:rPr>
        <w:lastRenderedPageBreak/>
        <w:t>CHAPTER 5: OLAP ANALYSIS</w:t>
      </w:r>
    </w:p>
    <w:p w14:paraId="09CE0D9E" w14:textId="77777777" w:rsidR="008D31CC" w:rsidRDefault="0091406E">
      <w:pPr>
        <w:pStyle w:val="Heading2"/>
      </w:pPr>
      <w:r>
        <w:rPr>
          <w:rFonts w:ascii="Times New Roman" w:eastAsia="Times New Roman" w:hAnsi="Times New Roman"/>
        </w:rPr>
        <w:t>5.1 OLAP Cube</w:t>
      </w:r>
    </w:p>
    <w:p w14:paraId="40ED2411" w14:textId="77777777" w:rsidR="008D31CC" w:rsidRDefault="0091406E">
      <w:pPr>
        <w:jc w:val="both"/>
      </w:pPr>
      <w:r>
        <w:t>The OLAP cube contains Time, Location, Product, Seller, Customer and Delivery dimensions. Measures include total orders, complaint count, complaint ratio, average delivery delay, average refund delay and return rate.</w:t>
      </w:r>
    </w:p>
    <w:p w14:paraId="648D6675" w14:textId="77777777" w:rsidR="008D31CC" w:rsidRDefault="0091406E">
      <w:pPr>
        <w:pStyle w:val="Heading2"/>
      </w:pPr>
      <w:r>
        <w:rPr>
          <w:rFonts w:ascii="Times New Roman" w:eastAsia="Times New Roman" w:hAnsi="Times New Roman"/>
        </w:rPr>
        <w:t>5.2 Roll-up</w:t>
      </w:r>
    </w:p>
    <w:p w14:paraId="1FA07EE2" w14:textId="77777777" w:rsidR="008D31CC" w:rsidRDefault="0091406E">
      <w:pPr>
        <w:jc w:val="both"/>
      </w:pPr>
      <w:r>
        <w:t>Roll-up aggregates detailed delivery-zone information to city, state and national levels to identify broad complaint patterns.</w:t>
      </w:r>
    </w:p>
    <w:p w14:paraId="6B30588D" w14:textId="77777777" w:rsidR="008D31CC" w:rsidRDefault="0091406E">
      <w:pPr>
        <w:pStyle w:val="Heading2"/>
      </w:pPr>
      <w:r>
        <w:rPr>
          <w:rFonts w:ascii="Times New Roman" w:eastAsia="Times New Roman" w:hAnsi="Times New Roman"/>
        </w:rPr>
        <w:t>5.3 Drill-down</w:t>
      </w:r>
    </w:p>
    <w:p w14:paraId="38C1F8C2" w14:textId="77777777" w:rsidR="008D31CC" w:rsidRDefault="0091406E">
      <w:pPr>
        <w:jc w:val="both"/>
      </w:pPr>
      <w:r>
        <w:t>Drill-down moves from state to city and then to delivery-zone level, helping management investigate geographic complaint hotspots.</w:t>
      </w:r>
    </w:p>
    <w:p w14:paraId="0470F4BC" w14:textId="77777777" w:rsidR="008D31CC" w:rsidRDefault="0091406E">
      <w:pPr>
        <w:pStyle w:val="Heading2"/>
      </w:pPr>
      <w:r>
        <w:rPr>
          <w:rFonts w:ascii="Times New Roman" w:eastAsia="Times New Roman" w:hAnsi="Times New Roman"/>
        </w:rPr>
        <w:t>5.4 Slice</w:t>
      </w:r>
    </w:p>
    <w:p w14:paraId="7C6983FE" w14:textId="77777777" w:rsidR="008D31CC" w:rsidRDefault="0091406E">
      <w:pPr>
        <w:jc w:val="both"/>
      </w:pPr>
      <w:r>
        <w:t>A slice can focus analysis on a single value, such as the Electronics product category.</w:t>
      </w:r>
    </w:p>
    <w:p w14:paraId="76F9B436" w14:textId="77777777" w:rsidR="008D31CC" w:rsidRDefault="0091406E">
      <w:pPr>
        <w:pStyle w:val="Heading2"/>
      </w:pPr>
      <w:r>
        <w:rPr>
          <w:rFonts w:ascii="Times New Roman" w:eastAsia="Times New Roman" w:hAnsi="Times New Roman"/>
        </w:rPr>
        <w:t>5.5 Dice</w:t>
      </w:r>
    </w:p>
    <w:p w14:paraId="64836F14" w14:textId="77777777" w:rsidR="008D31CC" w:rsidRDefault="0091406E">
      <w:pPr>
        <w:jc w:val="both"/>
      </w:pPr>
      <w:r>
        <w:t>A dice operation can analyze selected categories, sellers, cities and time periods simultaneously.</w:t>
      </w:r>
    </w:p>
    <w:p w14:paraId="21494F06" w14:textId="77777777" w:rsidR="008D31CC" w:rsidRDefault="0091406E">
      <w:pPr>
        <w:pStyle w:val="Heading2"/>
      </w:pPr>
      <w:r>
        <w:rPr>
          <w:rFonts w:ascii="Times New Roman" w:eastAsia="Times New Roman" w:hAnsi="Times New Roman"/>
        </w:rPr>
        <w:t>5.6 Pivot</w:t>
      </w:r>
    </w:p>
    <w:p w14:paraId="14695D38" w14:textId="77777777" w:rsidR="008D31CC" w:rsidRDefault="0091406E">
      <w:pPr>
        <w:jc w:val="both"/>
      </w:pPr>
      <w:r>
        <w:t>Pivot rotates the analytical perspective, for example comparing complaint types across sellers instead of sellers across complaint types.</w:t>
      </w:r>
    </w:p>
    <w:p w14:paraId="2929DE20" w14:textId="77777777" w:rsidR="008D31CC" w:rsidRDefault="0091406E">
      <w:pPr>
        <w:jc w:val="both"/>
      </w:pPr>
      <w:r>
        <w:br w:type="page"/>
      </w:r>
    </w:p>
    <w:p w14:paraId="463B2E9E" w14:textId="77777777" w:rsidR="008D31CC" w:rsidRDefault="0091406E" w:rsidP="00826D33">
      <w:pPr>
        <w:pStyle w:val="Heading1"/>
        <w:jc w:val="center"/>
      </w:pPr>
      <w:r>
        <w:rPr>
          <w:rFonts w:ascii="Times New Roman" w:eastAsia="Times New Roman" w:hAnsi="Times New Roman"/>
        </w:rPr>
        <w:lastRenderedPageBreak/>
        <w:t>CHAPTER 6: CONSUMER TRUST RISK INDEX</w:t>
      </w:r>
    </w:p>
    <w:p w14:paraId="677837B1" w14:textId="77777777" w:rsidR="008D31CC" w:rsidRDefault="0091406E">
      <w:pPr>
        <w:pStyle w:val="Heading2"/>
      </w:pPr>
      <w:r>
        <w:rPr>
          <w:rFonts w:ascii="Times New Roman" w:eastAsia="Times New Roman" w:hAnsi="Times New Roman"/>
        </w:rPr>
        <w:t>6.1 Risk Features</w:t>
      </w:r>
    </w:p>
    <w:p w14:paraId="09FD6868" w14:textId="77777777" w:rsidR="008D31CC" w:rsidRDefault="0091406E">
      <w:pPr>
        <w:jc w:val="both"/>
      </w:pPr>
      <w:r>
        <w:t>The Consumer Trust Risk Index uses complaint-to-order ratio, refund-delay rate, return frequency, delivery deviation, seller defect rate, product-category risk, order velocity and repeated complaint patterns.</w:t>
      </w:r>
    </w:p>
    <w:p w14:paraId="599B0EDC" w14:textId="77777777" w:rsidR="008D31CC" w:rsidRDefault="0091406E">
      <w:pPr>
        <w:pStyle w:val="Heading2"/>
      </w:pPr>
      <w:r>
        <w:rPr>
          <w:rFonts w:ascii="Times New Roman" w:eastAsia="Times New Roman" w:hAnsi="Times New Roman"/>
        </w:rPr>
        <w:t>6.2 CTRI Formula</w:t>
      </w:r>
    </w:p>
    <w:p w14:paraId="2C95E6CA" w14:textId="77777777" w:rsidR="008D31CC" w:rsidRDefault="0091406E">
      <w:pPr>
        <w:jc w:val="both"/>
      </w:pPr>
      <w:r>
        <w:t>CTRI = 0.20(COR) + 0.15(RDR) + 0.10(RF) + 0.15(DD) + 0.15(SDR) + 0.10(PCR) + 0.05(OV) + 0.10(RCP)</w:t>
      </w:r>
    </w:p>
    <w:p w14:paraId="0DC39732" w14:textId="77777777" w:rsidR="008D31CC" w:rsidRDefault="0091406E">
      <w:pPr>
        <w:jc w:val="both"/>
      </w:pPr>
      <w:r>
        <w:t>All features are normalized before combining them into a comparable score.</w:t>
      </w:r>
    </w:p>
    <w:p w14:paraId="238C1B67" w14:textId="77777777" w:rsidR="008D31CC" w:rsidRDefault="0091406E">
      <w:pPr>
        <w:pStyle w:val="Heading2"/>
      </w:pPr>
      <w:r>
        <w:rPr>
          <w:rFonts w:ascii="Times New Roman" w:eastAsia="Times New Roman" w:hAnsi="Times New Roman"/>
        </w:rPr>
        <w:t>6.3 Risk Levels</w:t>
      </w:r>
    </w:p>
    <w:p w14:paraId="510407C6" w14:textId="77777777" w:rsidR="008D31CC" w:rsidRDefault="0091406E">
      <w:pPr>
        <w:jc w:val="both"/>
      </w:pPr>
      <w:r>
        <w:t>0–30: Low Risk</w:t>
      </w:r>
      <w:r>
        <w:br/>
        <w:t>31–60: Medium Risk</w:t>
      </w:r>
      <w:r>
        <w:br/>
        <w:t>61–80: High Risk</w:t>
      </w:r>
      <w:r>
        <w:br/>
        <w:t>81–100: Critical Risk</w:t>
      </w:r>
    </w:p>
    <w:p w14:paraId="22AB0A1A" w14:textId="77777777" w:rsidR="008D31CC" w:rsidRDefault="0091406E">
      <w:pPr>
        <w:jc w:val="both"/>
      </w:pPr>
      <w:r>
        <w:br w:type="page"/>
      </w:r>
    </w:p>
    <w:p w14:paraId="16AF52C0" w14:textId="77777777" w:rsidR="008D31CC" w:rsidRDefault="0091406E" w:rsidP="00826D33">
      <w:pPr>
        <w:pStyle w:val="Heading1"/>
        <w:jc w:val="center"/>
      </w:pPr>
      <w:r>
        <w:rPr>
          <w:rFonts w:ascii="Times New Roman" w:eastAsia="Times New Roman" w:hAnsi="Times New Roman"/>
        </w:rPr>
        <w:lastRenderedPageBreak/>
        <w:t>CHAPTER 7: DATA MINING AND CLASSIFICATION</w:t>
      </w:r>
    </w:p>
    <w:p w14:paraId="5F065847" w14:textId="77777777" w:rsidR="008D31CC" w:rsidRDefault="0091406E">
      <w:pPr>
        <w:pStyle w:val="Heading2"/>
      </w:pPr>
      <w:r>
        <w:rPr>
          <w:rFonts w:ascii="Times New Roman" w:eastAsia="Times New Roman" w:hAnsi="Times New Roman"/>
        </w:rPr>
        <w:t>7.1 Target Variable</w:t>
      </w:r>
    </w:p>
    <w:p w14:paraId="11759568" w14:textId="77777777" w:rsidR="008D31CC" w:rsidRDefault="0091406E">
      <w:pPr>
        <w:jc w:val="both"/>
      </w:pPr>
      <w:r>
        <w:t>The target variable is High_Risk_Order, with classes Yes and No. A Yes prediction indicates that the order has a higher probability of developing into a serious service issue or complaint.</w:t>
      </w:r>
    </w:p>
    <w:p w14:paraId="66F162B0" w14:textId="77777777" w:rsidR="008D31CC" w:rsidRDefault="0091406E">
      <w:pPr>
        <w:pStyle w:val="Heading2"/>
      </w:pPr>
      <w:r>
        <w:rPr>
          <w:rFonts w:ascii="Times New Roman" w:eastAsia="Times New Roman" w:hAnsi="Times New Roman"/>
        </w:rPr>
        <w:t>7.2 Decision Tree</w:t>
      </w:r>
    </w:p>
    <w:p w14:paraId="5563E4B6" w14:textId="77777777" w:rsidR="008D31CC" w:rsidRDefault="0091406E">
      <w:pPr>
        <w:jc w:val="both"/>
      </w:pPr>
      <w:r>
        <w:t>The J48 Decision Tree is used because it produces understandable rules and supports explainability. Example: if delivery delay is high and seller defect rate is high, the order may be classified as high risk.</w:t>
      </w:r>
    </w:p>
    <w:p w14:paraId="7449EDBC" w14:textId="77777777" w:rsidR="008D31CC" w:rsidRDefault="0091406E">
      <w:pPr>
        <w:pStyle w:val="Heading2"/>
      </w:pPr>
      <w:r>
        <w:rPr>
          <w:rFonts w:ascii="Times New Roman" w:eastAsia="Times New Roman" w:hAnsi="Times New Roman"/>
        </w:rPr>
        <w:t>7.3 Naïve Bayes</w:t>
      </w:r>
    </w:p>
    <w:p w14:paraId="53323A69" w14:textId="77777777" w:rsidR="008D31CC" w:rsidRDefault="0091406E">
      <w:pPr>
        <w:jc w:val="both"/>
      </w:pPr>
      <w:r>
        <w:t>Naïve Bayes is a fast probabilistic classifier. It is useful as a baseline model but may be affected when important features are strongly dependent on one another.</w:t>
      </w:r>
    </w:p>
    <w:p w14:paraId="48F7A463" w14:textId="77777777" w:rsidR="008D31CC" w:rsidRDefault="0091406E">
      <w:pPr>
        <w:pStyle w:val="Heading2"/>
      </w:pPr>
      <w:r>
        <w:rPr>
          <w:rFonts w:ascii="Times New Roman" w:eastAsia="Times New Roman" w:hAnsi="Times New Roman"/>
        </w:rPr>
        <w:t>7.4 Support Vector Machine</w:t>
      </w:r>
    </w:p>
    <w:p w14:paraId="5F6A466D" w14:textId="77777777" w:rsidR="008D31CC" w:rsidRDefault="0091406E">
      <w:pPr>
        <w:jc w:val="both"/>
      </w:pPr>
      <w:r>
        <w:t>In Weka, the SMO implementation can be used as an SVM classifier. It may provide strong predictive performance but is generally less interpretable than a Decision Tree.</w:t>
      </w:r>
    </w:p>
    <w:p w14:paraId="0B1CA2FC" w14:textId="77777777" w:rsidR="008D31CC" w:rsidRDefault="0091406E">
      <w:pPr>
        <w:jc w:val="both"/>
      </w:pPr>
      <w:r>
        <w:br w:type="page"/>
      </w:r>
    </w:p>
    <w:p w14:paraId="64A559CA" w14:textId="77777777" w:rsidR="008D31CC" w:rsidRDefault="0091406E" w:rsidP="00826D33">
      <w:pPr>
        <w:pStyle w:val="Heading1"/>
        <w:jc w:val="center"/>
      </w:pPr>
      <w:r>
        <w:rPr>
          <w:rFonts w:ascii="Times New Roman" w:eastAsia="Times New Roman" w:hAnsi="Times New Roman"/>
        </w:rPr>
        <w:lastRenderedPageBreak/>
        <w:t>CHAPTER 8: MODEL EVALUATION AND ERROR ANALYSIS</w:t>
      </w:r>
    </w:p>
    <w:p w14:paraId="367275B9" w14:textId="77777777" w:rsidR="008D31CC" w:rsidRDefault="0091406E">
      <w:pPr>
        <w:pStyle w:val="Heading2"/>
      </w:pPr>
      <w:r>
        <w:rPr>
          <w:rFonts w:ascii="Times New Roman" w:eastAsia="Times New Roman" w:hAnsi="Times New Roman"/>
        </w:rPr>
        <w:t>8.1 Evaluation Metrics</w:t>
      </w:r>
    </w:p>
    <w:p w14:paraId="601AFDCA" w14:textId="77777777" w:rsidR="008D31CC" w:rsidRDefault="0091406E">
      <w:pPr>
        <w:jc w:val="both"/>
      </w:pPr>
      <w:r>
        <w:t>Models are evaluated using Accuracy, Precision, Recall, F1-score, Confusion Matrix, 10-fold Cross-validation and ROC-AUC where supported.</w:t>
      </w:r>
    </w:p>
    <w:p w14:paraId="06872872" w14:textId="77777777" w:rsidR="008D31CC" w:rsidRDefault="0091406E">
      <w:pPr>
        <w:pStyle w:val="Heading2"/>
      </w:pPr>
      <w:r>
        <w:rPr>
          <w:rFonts w:ascii="Times New Roman" w:eastAsia="Times New Roman" w:hAnsi="Times New Roman"/>
        </w:rPr>
        <w:t>8.2 False Positives</w:t>
      </w:r>
    </w:p>
    <w:p w14:paraId="0A274CC6" w14:textId="77777777" w:rsidR="008D31CC" w:rsidRDefault="0091406E">
      <w:pPr>
        <w:jc w:val="both"/>
      </w:pPr>
      <w:r>
        <w:t>A false positive flags a genuine order as high risk. This may create unnecessary review costs and inconvenience, so high-risk predictions should normally trigger verification rather than automatic punishment.</w:t>
      </w:r>
    </w:p>
    <w:p w14:paraId="20B8F39D" w14:textId="77777777" w:rsidR="008D31CC" w:rsidRDefault="0091406E">
      <w:pPr>
        <w:pStyle w:val="Heading2"/>
      </w:pPr>
      <w:r>
        <w:rPr>
          <w:rFonts w:ascii="Times New Roman" w:eastAsia="Times New Roman" w:hAnsi="Times New Roman"/>
        </w:rPr>
        <w:t>8.3 False Negatives</w:t>
      </w:r>
    </w:p>
    <w:p w14:paraId="7266A3E6" w14:textId="77777777" w:rsidR="008D31CC" w:rsidRDefault="0091406E">
      <w:pPr>
        <w:jc w:val="both"/>
      </w:pPr>
      <w:r>
        <w:t>A false negative misses a genuinely risky order. In a consumer-protection setting this can result in unresolved issues, escalated complaints and reduced consumer trust.</w:t>
      </w:r>
    </w:p>
    <w:p w14:paraId="66AAB4E6" w14:textId="77777777" w:rsidR="008D31CC" w:rsidRDefault="0091406E">
      <w:pPr>
        <w:pStyle w:val="Heading2"/>
      </w:pPr>
      <w:r>
        <w:rPr>
          <w:rFonts w:ascii="Times New Roman" w:eastAsia="Times New Roman" w:hAnsi="Times New Roman"/>
        </w:rPr>
        <w:t>8.4 Model Selection</w:t>
      </w:r>
    </w:p>
    <w:p w14:paraId="3DEACF9E" w14:textId="77777777" w:rsidR="008D31CC" w:rsidRDefault="0091406E">
      <w:pPr>
        <w:jc w:val="both"/>
      </w:pPr>
      <w:r>
        <w:t>The best model should not be selected using accuracy alone. Recall and F1-score are important when high-risk cases are relatively rare. Explainability and operational cost must also be considered.</w:t>
      </w:r>
    </w:p>
    <w:p w14:paraId="742BC819" w14:textId="77777777" w:rsidR="008D31CC" w:rsidRDefault="0091406E">
      <w:pPr>
        <w:jc w:val="both"/>
      </w:pPr>
      <w:r>
        <w:br w:type="page"/>
      </w:r>
    </w:p>
    <w:p w14:paraId="4EA84FE8" w14:textId="77777777" w:rsidR="008D31CC" w:rsidRDefault="0091406E" w:rsidP="00826D33">
      <w:pPr>
        <w:pStyle w:val="Heading1"/>
        <w:jc w:val="center"/>
      </w:pPr>
      <w:r>
        <w:rPr>
          <w:rFonts w:ascii="Times New Roman" w:eastAsia="Times New Roman" w:hAnsi="Times New Roman"/>
        </w:rPr>
        <w:lastRenderedPageBreak/>
        <w:t>CHAPTER 9: EARLY-WARNING DASHBOARD</w:t>
      </w:r>
    </w:p>
    <w:p w14:paraId="2A0E559E" w14:textId="77777777" w:rsidR="008D31CC" w:rsidRDefault="0091406E">
      <w:pPr>
        <w:pStyle w:val="Heading2"/>
      </w:pPr>
      <w:r>
        <w:rPr>
          <w:rFonts w:ascii="Times New Roman" w:eastAsia="Times New Roman" w:hAnsi="Times New Roman"/>
        </w:rPr>
        <w:t>9.1 Dashboard Components</w:t>
      </w:r>
    </w:p>
    <w:p w14:paraId="02F75C2E" w14:textId="77777777" w:rsidR="008D31CC" w:rsidRDefault="0091406E">
      <w:pPr>
        <w:jc w:val="both"/>
      </w:pPr>
      <w:r>
        <w:t>The dashboard should show high-risk orders, high-risk sellers, complaint hotspots, delivery failures, refund bottlenecks and product-category risk.</w:t>
      </w:r>
    </w:p>
    <w:p w14:paraId="6697F2A7" w14:textId="77777777" w:rsidR="008D31CC" w:rsidRDefault="0091406E">
      <w:pPr>
        <w:pStyle w:val="Heading2"/>
      </w:pPr>
      <w:r>
        <w:rPr>
          <w:rFonts w:ascii="Times New Roman" w:eastAsia="Times New Roman" w:hAnsi="Times New Roman"/>
        </w:rPr>
        <w:t>9.2 Explainability</w:t>
      </w:r>
    </w:p>
    <w:p w14:paraId="6E44D55F" w14:textId="77777777" w:rsidR="008D31CC" w:rsidRDefault="0091406E">
      <w:pPr>
        <w:jc w:val="both"/>
      </w:pPr>
      <w:r>
        <w:t>Each alert should display the major contributing factors, such as excessive delivery delay, high seller defect rate, repeated similar complaints or abnormal refund delay.</w:t>
      </w:r>
    </w:p>
    <w:p w14:paraId="61BA9326" w14:textId="77777777" w:rsidR="008D31CC" w:rsidRDefault="0091406E">
      <w:pPr>
        <w:pStyle w:val="Heading2"/>
      </w:pPr>
      <w:r>
        <w:rPr>
          <w:rFonts w:ascii="Times New Roman" w:eastAsia="Times New Roman" w:hAnsi="Times New Roman"/>
        </w:rPr>
        <w:t>9.3 Managerial Use</w:t>
      </w:r>
    </w:p>
    <w:p w14:paraId="4DABF989" w14:textId="77777777" w:rsidR="008D31CC" w:rsidRDefault="0091406E">
      <w:pPr>
        <w:jc w:val="both"/>
      </w:pPr>
      <w:r>
        <w:t>Managers can prioritize investigation, allocate quality-inspection resources, monitor logistics zones and intervene before problems become formal grievances.</w:t>
      </w:r>
    </w:p>
    <w:p w14:paraId="5990E9B7" w14:textId="77777777" w:rsidR="008D31CC" w:rsidRDefault="0091406E">
      <w:pPr>
        <w:jc w:val="both"/>
      </w:pPr>
      <w:r>
        <w:br w:type="page"/>
      </w:r>
    </w:p>
    <w:p w14:paraId="2762EF5E" w14:textId="77777777" w:rsidR="008D31CC" w:rsidRDefault="0091406E" w:rsidP="00826D33">
      <w:pPr>
        <w:pStyle w:val="Heading1"/>
        <w:jc w:val="center"/>
      </w:pPr>
      <w:r>
        <w:rPr>
          <w:rFonts w:ascii="Times New Roman" w:eastAsia="Times New Roman" w:hAnsi="Times New Roman"/>
        </w:rPr>
        <w:lastRenderedPageBreak/>
        <w:t>CHAPTER 10: ETHICS AND ROBUSTNESS ANALYSIS</w:t>
      </w:r>
    </w:p>
    <w:p w14:paraId="1985B37B" w14:textId="77777777" w:rsidR="008D31CC" w:rsidRDefault="0091406E">
      <w:pPr>
        <w:pStyle w:val="Heading2"/>
      </w:pPr>
      <w:r>
        <w:rPr>
          <w:rFonts w:ascii="Times New Roman" w:eastAsia="Times New Roman" w:hAnsi="Times New Roman"/>
        </w:rPr>
        <w:t>10.1 Privacy</w:t>
      </w:r>
    </w:p>
    <w:p w14:paraId="3943305A" w14:textId="77777777" w:rsidR="008D31CC" w:rsidRDefault="0091406E">
      <w:pPr>
        <w:jc w:val="both"/>
      </w:pPr>
      <w:r>
        <w:t>Only necessary information should be used. Personal information should be protected, minimized and anonymized or pseudonymized where possible.</w:t>
      </w:r>
    </w:p>
    <w:p w14:paraId="61A2CF26" w14:textId="77777777" w:rsidR="008D31CC" w:rsidRDefault="0091406E">
      <w:pPr>
        <w:pStyle w:val="Heading2"/>
      </w:pPr>
      <w:r>
        <w:rPr>
          <w:rFonts w:ascii="Times New Roman" w:eastAsia="Times New Roman" w:hAnsi="Times New Roman"/>
        </w:rPr>
        <w:t>10.2 Bias</w:t>
      </w:r>
    </w:p>
    <w:p w14:paraId="3DF1D892" w14:textId="77777777" w:rsidR="008D31CC" w:rsidRDefault="0091406E">
      <w:pPr>
        <w:jc w:val="both"/>
      </w:pPr>
      <w:r>
        <w:t>High complaint rates in a location should not automatically be interpreted as customer misconduct. Differences in infrastructure, order volume and data quality must be considered.</w:t>
      </w:r>
    </w:p>
    <w:p w14:paraId="020E24DF" w14:textId="77777777" w:rsidR="008D31CC" w:rsidRDefault="0091406E">
      <w:pPr>
        <w:pStyle w:val="Heading2"/>
      </w:pPr>
      <w:r>
        <w:rPr>
          <w:rFonts w:ascii="Times New Roman" w:eastAsia="Times New Roman" w:hAnsi="Times New Roman"/>
        </w:rPr>
        <w:t>10.3 Class Imbalance</w:t>
      </w:r>
    </w:p>
    <w:p w14:paraId="73A92B97" w14:textId="77777777" w:rsidR="008D31CC" w:rsidRDefault="0091406E">
      <w:pPr>
        <w:jc w:val="both"/>
      </w:pPr>
      <w:r>
        <w:t>Because high-risk orders may be a minority class, techniques such as resampling, SMOTE or cost-sensitive learning may be considered. Accuracy must be interpreted together with precision, recall and F1-score.</w:t>
      </w:r>
    </w:p>
    <w:p w14:paraId="3BFA42FC" w14:textId="77777777" w:rsidR="008D31CC" w:rsidRDefault="0091406E">
      <w:pPr>
        <w:pStyle w:val="Heading2"/>
      </w:pPr>
      <w:r>
        <w:rPr>
          <w:rFonts w:ascii="Times New Roman" w:eastAsia="Times New Roman" w:hAnsi="Times New Roman"/>
        </w:rPr>
        <w:t>10.4 Data Leakage</w:t>
      </w:r>
    </w:p>
    <w:p w14:paraId="0AE88329" w14:textId="77777777" w:rsidR="008D31CC" w:rsidRDefault="0091406E">
      <w:pPr>
        <w:jc w:val="both"/>
      </w:pPr>
      <w:r>
        <w:t>Only information available at prediction time should be used. Future outcomes, such as final complaint resolution, must not be included as predictor variables for an earlier prediction.</w:t>
      </w:r>
    </w:p>
    <w:p w14:paraId="14FC658F" w14:textId="77777777" w:rsidR="008D31CC" w:rsidRDefault="0091406E">
      <w:pPr>
        <w:pStyle w:val="Heading2"/>
      </w:pPr>
      <w:r>
        <w:rPr>
          <w:rFonts w:ascii="Times New Roman" w:eastAsia="Times New Roman" w:hAnsi="Times New Roman"/>
        </w:rPr>
        <w:t>10.5 Human Oversight</w:t>
      </w:r>
    </w:p>
    <w:p w14:paraId="31D0D220" w14:textId="77777777" w:rsidR="008D31CC" w:rsidRDefault="0091406E">
      <w:pPr>
        <w:jc w:val="both"/>
      </w:pPr>
      <w:r>
        <w:t>The system must not automatically deny legitimate refunds. It should prioritize investigation and support accountable human decision-making.</w:t>
      </w:r>
    </w:p>
    <w:p w14:paraId="3319F1CA" w14:textId="77777777" w:rsidR="008D31CC" w:rsidRDefault="0091406E">
      <w:pPr>
        <w:jc w:val="both"/>
      </w:pPr>
      <w:r>
        <w:br w:type="page"/>
      </w:r>
    </w:p>
    <w:p w14:paraId="055D95E6" w14:textId="77777777" w:rsidR="008D31CC" w:rsidRDefault="0091406E" w:rsidP="00826D33">
      <w:pPr>
        <w:pStyle w:val="Heading1"/>
        <w:jc w:val="center"/>
      </w:pPr>
      <w:r>
        <w:rPr>
          <w:rFonts w:ascii="Times New Roman" w:eastAsia="Times New Roman" w:hAnsi="Times New Roman"/>
        </w:rPr>
        <w:lastRenderedPageBreak/>
        <w:t>CHAPTER 11: INTERVENTION STRATEGY AND EXPECTED IMPACT</w:t>
      </w:r>
    </w:p>
    <w:p w14:paraId="724C3EEA" w14:textId="77777777" w:rsidR="008D31CC" w:rsidRDefault="0091406E">
      <w:pPr>
        <w:pStyle w:val="Heading2"/>
      </w:pPr>
      <w:r>
        <w:rPr>
          <w:rFonts w:ascii="Times New Roman" w:eastAsia="Times New Roman" w:hAnsi="Times New Roman"/>
        </w:rPr>
        <w:t>11.1 Risk-Based Intervention</w:t>
      </w:r>
    </w:p>
    <w:p w14:paraId="72169735" w14:textId="77777777" w:rsidR="008D31CC" w:rsidRDefault="0091406E">
      <w:pPr>
        <w:jc w:val="both"/>
      </w:pPr>
      <w:r>
        <w:t>Low-risk orders follow normal processing. Medium-risk orders receive monitoring. High-risk orders may receive additional quality checks. Critical-risk cases can be prioritized for seller audit, refund verification and proactive customer support.</w:t>
      </w:r>
    </w:p>
    <w:p w14:paraId="67B3C45D" w14:textId="77777777" w:rsidR="008D31CC" w:rsidRDefault="0091406E">
      <w:pPr>
        <w:pStyle w:val="Heading2"/>
      </w:pPr>
      <w:r>
        <w:rPr>
          <w:rFonts w:ascii="Times New Roman" w:eastAsia="Times New Roman" w:hAnsi="Times New Roman"/>
        </w:rPr>
        <w:t>11.2 Quantified Example</w:t>
      </w:r>
    </w:p>
    <w:p w14:paraId="76810437" w14:textId="77777777" w:rsidR="008D31CC" w:rsidRDefault="0091406E">
      <w:pPr>
        <w:jc w:val="both"/>
      </w:pPr>
      <w:r>
        <w:t>Assume 100,000 orders per month and a serious complaint rate of 2 percent, producing 2,000 potential high-risk cases. If a model detects 75 percent of them, approximately 1,500 cases can be identified. If proactive intervention prevents escalation in 30 percent of detected cases, approximately 450 serious complaints could potentially be prevented per month. This is an illustrative scenario and must be validated with actual data.</w:t>
      </w:r>
    </w:p>
    <w:p w14:paraId="4E8BA96A" w14:textId="77777777" w:rsidR="008D31CC" w:rsidRDefault="0091406E">
      <w:pPr>
        <w:jc w:val="both"/>
      </w:pPr>
      <w:r>
        <w:br w:type="page"/>
      </w:r>
    </w:p>
    <w:p w14:paraId="5EEF3607" w14:textId="77777777" w:rsidR="008D31CC" w:rsidRDefault="0091406E" w:rsidP="00826D33">
      <w:pPr>
        <w:pStyle w:val="Heading1"/>
        <w:jc w:val="center"/>
      </w:pPr>
      <w:r>
        <w:rPr>
          <w:rFonts w:ascii="Times New Roman" w:eastAsia="Times New Roman" w:hAnsi="Times New Roman"/>
        </w:rPr>
        <w:lastRenderedPageBreak/>
        <w:t>CHAPTER 12: WEKA IMPLEMENTATION</w:t>
      </w:r>
    </w:p>
    <w:p w14:paraId="19F88150" w14:textId="77777777" w:rsidR="008D31CC" w:rsidRDefault="0091406E">
      <w:pPr>
        <w:pStyle w:val="Heading2"/>
      </w:pPr>
      <w:r>
        <w:rPr>
          <w:rFonts w:ascii="Times New Roman" w:eastAsia="Times New Roman" w:hAnsi="Times New Roman"/>
        </w:rPr>
        <w:t>12.1 Dataset Preparation</w:t>
      </w:r>
    </w:p>
    <w:p w14:paraId="6D859A93" w14:textId="77777777" w:rsidR="008D31CC" w:rsidRDefault="0091406E">
      <w:pPr>
        <w:jc w:val="both"/>
      </w:pPr>
      <w:r>
        <w:t>Prepare the dataset in CSV or ARFF format. Ensure that the target attribute High_Risk_Order is correctly defined as the class attribute.</w:t>
      </w:r>
    </w:p>
    <w:p w14:paraId="3987E24D" w14:textId="77777777" w:rsidR="008D31CC" w:rsidRDefault="0091406E">
      <w:pPr>
        <w:pStyle w:val="Heading2"/>
      </w:pPr>
      <w:r>
        <w:rPr>
          <w:rFonts w:ascii="Times New Roman" w:eastAsia="Times New Roman" w:hAnsi="Times New Roman"/>
        </w:rPr>
        <w:t>12.2 J48</w:t>
      </w:r>
    </w:p>
    <w:p w14:paraId="2D018934" w14:textId="77777777" w:rsidR="008D31CC" w:rsidRDefault="0091406E">
      <w:pPr>
        <w:jc w:val="both"/>
      </w:pPr>
      <w:r>
        <w:t>Open Weka Explorer, load the dataset, select Classify, choose Trees → J48 and use 10-fold cross-validation. Record the evaluation results.</w:t>
      </w:r>
    </w:p>
    <w:p w14:paraId="2EF95294" w14:textId="77777777" w:rsidR="008D31CC" w:rsidRDefault="0091406E">
      <w:pPr>
        <w:pStyle w:val="Heading2"/>
      </w:pPr>
      <w:r>
        <w:rPr>
          <w:rFonts w:ascii="Times New Roman" w:eastAsia="Times New Roman" w:hAnsi="Times New Roman"/>
        </w:rPr>
        <w:t>12.3 Naïve Bayes</w:t>
      </w:r>
    </w:p>
    <w:p w14:paraId="2DE1C492" w14:textId="77777777" w:rsidR="008D31CC" w:rsidRDefault="0091406E">
      <w:pPr>
        <w:jc w:val="both"/>
      </w:pPr>
      <w:r>
        <w:t>Choose Bayes → NaiveBayes and evaluate using the same cross-validation procedure.</w:t>
      </w:r>
    </w:p>
    <w:p w14:paraId="493ECF7C" w14:textId="77777777" w:rsidR="008D31CC" w:rsidRDefault="0091406E">
      <w:pPr>
        <w:pStyle w:val="Heading2"/>
      </w:pPr>
      <w:r>
        <w:rPr>
          <w:rFonts w:ascii="Times New Roman" w:eastAsia="Times New Roman" w:hAnsi="Times New Roman"/>
        </w:rPr>
        <w:t>12.4 SVM</w:t>
      </w:r>
    </w:p>
    <w:p w14:paraId="09AA959A" w14:textId="77777777" w:rsidR="008D31CC" w:rsidRDefault="0091406E">
      <w:pPr>
        <w:jc w:val="both"/>
      </w:pPr>
      <w:r>
        <w:t>Choose Functions → SMO and evaluate using 10-fold cross-validation. Compare the results fairly using the same dataset and preprocessing approach.</w:t>
      </w:r>
    </w:p>
    <w:p w14:paraId="7039E858" w14:textId="77777777" w:rsidR="008D31CC" w:rsidRDefault="0091406E">
      <w:pPr>
        <w:jc w:val="both"/>
      </w:pPr>
      <w:r>
        <w:br w:type="page"/>
      </w:r>
    </w:p>
    <w:p w14:paraId="78936908" w14:textId="77777777" w:rsidR="008D31CC" w:rsidRDefault="0091406E" w:rsidP="00826D33">
      <w:pPr>
        <w:pStyle w:val="Heading1"/>
        <w:jc w:val="center"/>
      </w:pPr>
      <w:r>
        <w:rPr>
          <w:rFonts w:ascii="Times New Roman" w:eastAsia="Times New Roman" w:hAnsi="Times New Roman"/>
        </w:rPr>
        <w:lastRenderedPageBreak/>
        <w:t>CHAPTER 13: RESULTS AND DISCUSSION</w:t>
      </w:r>
    </w:p>
    <w:p w14:paraId="4A315BDB" w14:textId="77777777" w:rsidR="008D31CC" w:rsidRDefault="0091406E">
      <w:pPr>
        <w:pStyle w:val="Heading2"/>
      </w:pPr>
      <w:r>
        <w:rPr>
          <w:rFonts w:ascii="Times New Roman" w:eastAsia="Times New Roman" w:hAnsi="Times New Roman"/>
        </w:rPr>
        <w:t>13.1 Model Comparison</w:t>
      </w:r>
    </w:p>
    <w:p w14:paraId="629DB573" w14:textId="77777777" w:rsidR="008D31CC" w:rsidRDefault="0091406E">
      <w:pPr>
        <w:jc w:val="both"/>
      </w:pPr>
      <w:r>
        <w:t>Insert the actual experimental results obtained from Weka in the following table.</w:t>
      </w:r>
    </w:p>
    <w:p w14:paraId="5746F543" w14:textId="77777777" w:rsidR="008D31CC" w:rsidRDefault="0091406E">
      <w:pPr>
        <w:pStyle w:val="Heading2"/>
      </w:pPr>
      <w:r>
        <w:rPr>
          <w:rFonts w:ascii="Times New Roman" w:eastAsia="Times New Roman" w:hAnsi="Times New Roman"/>
        </w:rPr>
        <w:t>13.2 Interpretation</w:t>
      </w:r>
    </w:p>
    <w:p w14:paraId="583BE82D" w14:textId="77777777" w:rsidR="008D31CC" w:rsidRDefault="0091406E">
      <w:pPr>
        <w:jc w:val="both"/>
      </w:pPr>
      <w:r>
        <w:t>Discuss which model achieves the best balance of precision, recall, F1-score and explainability. Unexpected results should be interpreted in relation to feature distributions, class imbalance, preprocessing and the cost of prediction errors.</w:t>
      </w:r>
    </w:p>
    <w:p w14:paraId="0D46E237" w14:textId="77777777" w:rsidR="008D31CC" w:rsidRDefault="0091406E">
      <w:pPr>
        <w:jc w:val="both"/>
      </w:pPr>
      <w:r>
        <w:br w:type="page"/>
      </w:r>
    </w:p>
    <w:p w14:paraId="7360FF9D" w14:textId="77777777" w:rsidR="008D31CC" w:rsidRDefault="0091406E" w:rsidP="00826D33">
      <w:pPr>
        <w:pStyle w:val="Heading1"/>
        <w:jc w:val="center"/>
      </w:pPr>
      <w:r>
        <w:rPr>
          <w:rFonts w:ascii="Times New Roman" w:eastAsia="Times New Roman" w:hAnsi="Times New Roman"/>
        </w:rPr>
        <w:lastRenderedPageBreak/>
        <w:t>CHAPTER 14: CONCLUSION</w:t>
      </w:r>
    </w:p>
    <w:p w14:paraId="6B3B2D9B" w14:textId="77777777" w:rsidR="008D31CC" w:rsidRDefault="0091406E">
      <w:pPr>
        <w:pStyle w:val="Heading2"/>
      </w:pPr>
      <w:r>
        <w:rPr>
          <w:rFonts w:ascii="Times New Roman" w:eastAsia="Times New Roman" w:hAnsi="Times New Roman"/>
        </w:rPr>
        <w:t>14.1 Conclusion</w:t>
      </w:r>
    </w:p>
    <w:p w14:paraId="58519203" w14:textId="77777777" w:rsidR="008D31CC" w:rsidRDefault="0091406E">
      <w:pPr>
        <w:jc w:val="both"/>
      </w:pPr>
      <w:r>
        <w:t>This project presents an integrated Data Warehousing and Data Mining framework for proactive consumer-trust analytics in India's e-commerce and quick-commerce ecosystem. The framework combines heterogeneous operational data, ETL processes, dimensional modeling, OLAP analysis and classification techniques to identify potential consumer risks before complaints escalate.</w:t>
      </w:r>
    </w:p>
    <w:p w14:paraId="4C5B5CEC" w14:textId="77777777" w:rsidR="008D31CC" w:rsidRDefault="0091406E">
      <w:pPr>
        <w:jc w:val="both"/>
      </w:pPr>
      <w:r>
        <w:t>The Consumer Trust Risk Index provides an interpretable risk framework, while the comparison of J48, Naïve Bayes and SVM supports evidence-based model selection. The proposed system emphasizes that prediction should guide investigation and prevention rather than automatically deny consumer rights. The approach can help management move from reactive complaint handling to proactive consumer-trust management.</w:t>
      </w:r>
    </w:p>
    <w:p w14:paraId="6808AFC9" w14:textId="77777777" w:rsidR="008D31CC" w:rsidRDefault="0091406E">
      <w:pPr>
        <w:jc w:val="both"/>
      </w:pPr>
      <w:r>
        <w:br w:type="page"/>
      </w:r>
    </w:p>
    <w:p w14:paraId="304C9AFF" w14:textId="77777777" w:rsidR="008D31CC" w:rsidRDefault="0091406E">
      <w:pPr>
        <w:pStyle w:val="Heading1"/>
      </w:pPr>
      <w:r>
        <w:rPr>
          <w:rFonts w:ascii="Times New Roman" w:eastAsia="Times New Roman" w:hAnsi="Times New Roman"/>
        </w:rPr>
        <w:lastRenderedPageBreak/>
        <w:t>REFERENCES</w:t>
      </w:r>
    </w:p>
    <w:p w14:paraId="05E2EE79" w14:textId="77777777" w:rsidR="008D31CC" w:rsidRDefault="0091406E">
      <w:pPr>
        <w:jc w:val="both"/>
      </w:pPr>
      <w:r>
        <w:t>Han, J., Kamber, M., &amp; Pei, J. Data Mining: Concepts and Techniques. Morgan Kaufmann.</w:t>
      </w:r>
    </w:p>
    <w:p w14:paraId="6DE35685" w14:textId="77777777" w:rsidR="008D31CC" w:rsidRDefault="0091406E">
      <w:pPr>
        <w:jc w:val="both"/>
      </w:pPr>
      <w:r>
        <w:t>Inmon, W. H. Building the Data Warehouse. Wiley.</w:t>
      </w:r>
    </w:p>
    <w:p w14:paraId="457B1FDB" w14:textId="77777777" w:rsidR="008D31CC" w:rsidRDefault="0091406E">
      <w:pPr>
        <w:jc w:val="both"/>
      </w:pPr>
      <w:r>
        <w:t>Kimball, R., &amp; Ross, M. The Data Warehouse Toolkit: The Definitive Guide to Dimensional Modeling. Wiley.</w:t>
      </w:r>
    </w:p>
    <w:p w14:paraId="1F81F1FF" w14:textId="77777777" w:rsidR="008D31CC" w:rsidRDefault="0091406E">
      <w:pPr>
        <w:jc w:val="both"/>
      </w:pPr>
      <w:r>
        <w:t>Witten, I. H., Frank, E., Hall, M. A., &amp; Pal, C. J. Data Mining: Practical Machine Learning Tools and Techniques. Morgan Kaufmann.</w:t>
      </w:r>
    </w:p>
    <w:p w14:paraId="572D8A85" w14:textId="77777777" w:rsidR="008D31CC" w:rsidRDefault="0091406E">
      <w:pPr>
        <w:jc w:val="both"/>
      </w:pPr>
      <w:r>
        <w:t>Government of India, Ministry of Consumer Affairs, Food and Public Distribution. Consumer-protection and e-commerce grievance information.</w:t>
      </w:r>
    </w:p>
    <w:p w14:paraId="0927E3B7" w14:textId="77777777" w:rsidR="008D31CC" w:rsidRDefault="0091406E">
      <w:pPr>
        <w:jc w:val="both"/>
      </w:pPr>
      <w:r>
        <w:t>WEKA Machine Learning Software documentation.</w:t>
      </w:r>
    </w:p>
    <w:p w14:paraId="5A579D53" w14:textId="77777777" w:rsidR="008D31CC" w:rsidRDefault="0091406E">
      <w:pPr>
        <w:pStyle w:val="Heading2"/>
        <w:jc w:val="both"/>
      </w:pPr>
      <w:r>
        <w:rPr>
          <w:rFonts w:ascii="Times New Roman" w:eastAsia="Times New Roman" w:hAnsi="Times New Roman"/>
        </w:rPr>
        <w:t>Model Comparison Table</w:t>
      </w:r>
    </w:p>
    <w:tbl>
      <w:tblPr>
        <w:tblStyle w:val="TableGrid"/>
        <w:tblW w:w="0" w:type="auto"/>
        <w:tblLook w:val="04A0" w:firstRow="1" w:lastRow="0" w:firstColumn="1" w:lastColumn="0" w:noHBand="0" w:noVBand="1"/>
      </w:tblPr>
      <w:tblGrid>
        <w:gridCol w:w="1560"/>
        <w:gridCol w:w="1560"/>
        <w:gridCol w:w="1560"/>
        <w:gridCol w:w="1560"/>
        <w:gridCol w:w="1560"/>
        <w:gridCol w:w="1560"/>
      </w:tblGrid>
      <w:tr w:rsidR="008D31CC" w14:paraId="7EF793E8" w14:textId="77777777">
        <w:tc>
          <w:tcPr>
            <w:tcW w:w="1560" w:type="dxa"/>
          </w:tcPr>
          <w:p w14:paraId="6E3B5BAE" w14:textId="77777777" w:rsidR="008D31CC" w:rsidRDefault="0091406E">
            <w:r>
              <w:t>Model</w:t>
            </w:r>
          </w:p>
        </w:tc>
        <w:tc>
          <w:tcPr>
            <w:tcW w:w="1560" w:type="dxa"/>
          </w:tcPr>
          <w:p w14:paraId="76391CF1" w14:textId="77777777" w:rsidR="008D31CC" w:rsidRDefault="0091406E">
            <w:r>
              <w:t>Accuracy</w:t>
            </w:r>
          </w:p>
        </w:tc>
        <w:tc>
          <w:tcPr>
            <w:tcW w:w="1560" w:type="dxa"/>
          </w:tcPr>
          <w:p w14:paraId="081837C6" w14:textId="77777777" w:rsidR="008D31CC" w:rsidRDefault="0091406E">
            <w:r>
              <w:t>Precision</w:t>
            </w:r>
          </w:p>
        </w:tc>
        <w:tc>
          <w:tcPr>
            <w:tcW w:w="1560" w:type="dxa"/>
          </w:tcPr>
          <w:p w14:paraId="242061E6" w14:textId="77777777" w:rsidR="008D31CC" w:rsidRDefault="0091406E">
            <w:r>
              <w:t>Recall</w:t>
            </w:r>
          </w:p>
        </w:tc>
        <w:tc>
          <w:tcPr>
            <w:tcW w:w="1560" w:type="dxa"/>
          </w:tcPr>
          <w:p w14:paraId="09588C86" w14:textId="77777777" w:rsidR="008D31CC" w:rsidRDefault="0091406E">
            <w:r>
              <w:t>F1-Score</w:t>
            </w:r>
          </w:p>
        </w:tc>
        <w:tc>
          <w:tcPr>
            <w:tcW w:w="1560" w:type="dxa"/>
          </w:tcPr>
          <w:p w14:paraId="2513AD99" w14:textId="77777777" w:rsidR="008D31CC" w:rsidRDefault="0091406E">
            <w:r>
              <w:t>ROC-AUC</w:t>
            </w:r>
          </w:p>
        </w:tc>
      </w:tr>
      <w:tr w:rsidR="008D31CC" w14:paraId="088EF663" w14:textId="77777777">
        <w:tc>
          <w:tcPr>
            <w:tcW w:w="1560" w:type="dxa"/>
          </w:tcPr>
          <w:p w14:paraId="7AF21680" w14:textId="77777777" w:rsidR="008D31CC" w:rsidRDefault="0091406E">
            <w:r>
              <w:t>J48 Decision Tree</w:t>
            </w:r>
          </w:p>
        </w:tc>
        <w:tc>
          <w:tcPr>
            <w:tcW w:w="1560" w:type="dxa"/>
          </w:tcPr>
          <w:p w14:paraId="34562A02" w14:textId="77777777" w:rsidR="008D31CC" w:rsidRDefault="0091406E">
            <w:r>
              <w:t>Insert Result</w:t>
            </w:r>
          </w:p>
        </w:tc>
        <w:tc>
          <w:tcPr>
            <w:tcW w:w="1560" w:type="dxa"/>
          </w:tcPr>
          <w:p w14:paraId="68964BCA" w14:textId="77777777" w:rsidR="008D31CC" w:rsidRDefault="0091406E">
            <w:r>
              <w:t>Insert Result</w:t>
            </w:r>
          </w:p>
        </w:tc>
        <w:tc>
          <w:tcPr>
            <w:tcW w:w="1560" w:type="dxa"/>
          </w:tcPr>
          <w:p w14:paraId="68E68602" w14:textId="77777777" w:rsidR="008D31CC" w:rsidRDefault="0091406E">
            <w:r>
              <w:t>Insert Result</w:t>
            </w:r>
          </w:p>
        </w:tc>
        <w:tc>
          <w:tcPr>
            <w:tcW w:w="1560" w:type="dxa"/>
          </w:tcPr>
          <w:p w14:paraId="6EAFDDB4" w14:textId="77777777" w:rsidR="008D31CC" w:rsidRDefault="0091406E">
            <w:r>
              <w:t>Insert Result</w:t>
            </w:r>
          </w:p>
        </w:tc>
        <w:tc>
          <w:tcPr>
            <w:tcW w:w="1560" w:type="dxa"/>
          </w:tcPr>
          <w:p w14:paraId="6BD94091" w14:textId="77777777" w:rsidR="008D31CC" w:rsidRDefault="0091406E">
            <w:r>
              <w:t>Insert Result</w:t>
            </w:r>
          </w:p>
        </w:tc>
      </w:tr>
      <w:tr w:rsidR="008D31CC" w14:paraId="1742F83E" w14:textId="77777777">
        <w:tc>
          <w:tcPr>
            <w:tcW w:w="1560" w:type="dxa"/>
          </w:tcPr>
          <w:p w14:paraId="6F8EE33E" w14:textId="77777777" w:rsidR="008D31CC" w:rsidRDefault="0091406E">
            <w:r>
              <w:t>Naïve Bayes</w:t>
            </w:r>
          </w:p>
        </w:tc>
        <w:tc>
          <w:tcPr>
            <w:tcW w:w="1560" w:type="dxa"/>
          </w:tcPr>
          <w:p w14:paraId="57B0B2F7" w14:textId="77777777" w:rsidR="008D31CC" w:rsidRDefault="0091406E">
            <w:r>
              <w:t>Insert Result</w:t>
            </w:r>
          </w:p>
        </w:tc>
        <w:tc>
          <w:tcPr>
            <w:tcW w:w="1560" w:type="dxa"/>
          </w:tcPr>
          <w:p w14:paraId="30CE87DF" w14:textId="77777777" w:rsidR="008D31CC" w:rsidRDefault="0091406E">
            <w:r>
              <w:t>Insert Result</w:t>
            </w:r>
          </w:p>
        </w:tc>
        <w:tc>
          <w:tcPr>
            <w:tcW w:w="1560" w:type="dxa"/>
          </w:tcPr>
          <w:p w14:paraId="7E3F3D31" w14:textId="77777777" w:rsidR="008D31CC" w:rsidRDefault="0091406E">
            <w:r>
              <w:t>Insert Result</w:t>
            </w:r>
          </w:p>
        </w:tc>
        <w:tc>
          <w:tcPr>
            <w:tcW w:w="1560" w:type="dxa"/>
          </w:tcPr>
          <w:p w14:paraId="5B1B7011" w14:textId="77777777" w:rsidR="008D31CC" w:rsidRDefault="0091406E">
            <w:r>
              <w:t>Insert Result</w:t>
            </w:r>
          </w:p>
        </w:tc>
        <w:tc>
          <w:tcPr>
            <w:tcW w:w="1560" w:type="dxa"/>
          </w:tcPr>
          <w:p w14:paraId="46A73256" w14:textId="77777777" w:rsidR="008D31CC" w:rsidRDefault="0091406E">
            <w:r>
              <w:t>Insert Result</w:t>
            </w:r>
          </w:p>
        </w:tc>
      </w:tr>
      <w:tr w:rsidR="008D31CC" w14:paraId="7316B559" w14:textId="77777777">
        <w:tc>
          <w:tcPr>
            <w:tcW w:w="1560" w:type="dxa"/>
          </w:tcPr>
          <w:p w14:paraId="7F3A24AE" w14:textId="77777777" w:rsidR="008D31CC" w:rsidRDefault="0091406E">
            <w:r>
              <w:t>SMO / SVM</w:t>
            </w:r>
          </w:p>
        </w:tc>
        <w:tc>
          <w:tcPr>
            <w:tcW w:w="1560" w:type="dxa"/>
          </w:tcPr>
          <w:p w14:paraId="749E3652" w14:textId="77777777" w:rsidR="008D31CC" w:rsidRDefault="0091406E">
            <w:r>
              <w:t>Insert Result</w:t>
            </w:r>
          </w:p>
        </w:tc>
        <w:tc>
          <w:tcPr>
            <w:tcW w:w="1560" w:type="dxa"/>
          </w:tcPr>
          <w:p w14:paraId="7496E597" w14:textId="77777777" w:rsidR="008D31CC" w:rsidRDefault="0091406E">
            <w:r>
              <w:t>Insert Result</w:t>
            </w:r>
          </w:p>
        </w:tc>
        <w:tc>
          <w:tcPr>
            <w:tcW w:w="1560" w:type="dxa"/>
          </w:tcPr>
          <w:p w14:paraId="5BF2D128" w14:textId="77777777" w:rsidR="008D31CC" w:rsidRDefault="0091406E">
            <w:r>
              <w:t>Insert Result</w:t>
            </w:r>
          </w:p>
        </w:tc>
        <w:tc>
          <w:tcPr>
            <w:tcW w:w="1560" w:type="dxa"/>
          </w:tcPr>
          <w:p w14:paraId="0D4EDCC0" w14:textId="77777777" w:rsidR="008D31CC" w:rsidRDefault="0091406E">
            <w:r>
              <w:t>Insert Result</w:t>
            </w:r>
          </w:p>
        </w:tc>
        <w:tc>
          <w:tcPr>
            <w:tcW w:w="1560" w:type="dxa"/>
          </w:tcPr>
          <w:p w14:paraId="257776D6" w14:textId="77777777" w:rsidR="008D31CC" w:rsidRDefault="0091406E">
            <w:r>
              <w:t>Insert Result</w:t>
            </w:r>
          </w:p>
        </w:tc>
      </w:tr>
    </w:tbl>
    <w:p w14:paraId="49380DB8" w14:textId="77777777" w:rsidR="008D31CC" w:rsidRDefault="0091406E">
      <w:pPr>
        <w:jc w:val="both"/>
      </w:pPr>
      <w:r>
        <w:br w:type="page"/>
      </w:r>
    </w:p>
    <w:p w14:paraId="289DBF5E" w14:textId="77777777" w:rsidR="006E7109" w:rsidRDefault="0091406E" w:rsidP="006E7109">
      <w:pPr>
        <w:pStyle w:val="Heading1"/>
        <w:rPr>
          <w:rFonts w:ascii="Times New Roman" w:eastAsia="Times New Roman" w:hAnsi="Times New Roman"/>
        </w:rPr>
      </w:pPr>
      <w:r>
        <w:rPr>
          <w:rFonts w:ascii="Times New Roman" w:eastAsia="Times New Roman" w:hAnsi="Times New Roman"/>
        </w:rPr>
        <w:lastRenderedPageBreak/>
        <w:t>APPENDICES</w:t>
      </w:r>
    </w:p>
    <w:p w14:paraId="0A6DFCC4" w14:textId="798619EE" w:rsidR="008D31CC" w:rsidRDefault="0091406E" w:rsidP="006E7109">
      <w:pPr>
        <w:pStyle w:val="Heading1"/>
      </w:pPr>
      <w:r>
        <w:rPr>
          <w:rFonts w:ascii="Times New Roman" w:eastAsia="Times New Roman" w:hAnsi="Times New Roman"/>
        </w:rPr>
        <w:t xml:space="preserve"> Suggested Dataset Attributes</w:t>
      </w:r>
    </w:p>
    <w:p w14:paraId="3886AEB7" w14:textId="77777777" w:rsidR="008D31CC" w:rsidRDefault="0091406E">
      <w:pPr>
        <w:jc w:val="both"/>
      </w:pPr>
      <w:r>
        <w:t>O</w:t>
      </w:r>
      <w:r>
        <w:t>rder_ID, Customer_ID, Product_ID, Seller_ID, Product_Category, Order_Value, Delivery_Delay, Refund_Delay, Return_Frequency, Seller_Defect_Rate, Complaint_Ratio, CTRI and High_Risk_Order.</w:t>
      </w:r>
    </w:p>
    <w:p w14:paraId="135C1E19" w14:textId="3131F300" w:rsidR="008D31CC" w:rsidRDefault="008D31CC">
      <w:pPr>
        <w:jc w:val="both"/>
      </w:pPr>
    </w:p>
    <w:sectPr w:rsidR="008D31C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6883898">
    <w:abstractNumId w:val="8"/>
  </w:num>
  <w:num w:numId="2" w16cid:durableId="1612474028">
    <w:abstractNumId w:val="6"/>
  </w:num>
  <w:num w:numId="3" w16cid:durableId="300353891">
    <w:abstractNumId w:val="5"/>
  </w:num>
  <w:num w:numId="4" w16cid:durableId="614019894">
    <w:abstractNumId w:val="4"/>
  </w:num>
  <w:num w:numId="5" w16cid:durableId="587925898">
    <w:abstractNumId w:val="7"/>
  </w:num>
  <w:num w:numId="6" w16cid:durableId="1454909913">
    <w:abstractNumId w:val="3"/>
  </w:num>
  <w:num w:numId="7" w16cid:durableId="846022491">
    <w:abstractNumId w:val="2"/>
  </w:num>
  <w:num w:numId="8" w16cid:durableId="1756366126">
    <w:abstractNumId w:val="1"/>
  </w:num>
  <w:num w:numId="9" w16cid:durableId="1106458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109"/>
    <w:rsid w:val="00826D33"/>
    <w:rsid w:val="008D31CC"/>
    <w:rsid w:val="00AA1D8D"/>
    <w:rsid w:val="00B47730"/>
    <w:rsid w:val="00CB0664"/>
    <w:rsid w:val="00E45A59"/>
    <w:rsid w:val="00FA77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AA8042-DEA9-4D68-AD50-A364BFF44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2349</Words>
  <Characters>13395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PANDI C</cp:lastModifiedBy>
  <cp:revision>4</cp:revision>
  <dcterms:created xsi:type="dcterms:W3CDTF">2013-12-23T23:15:00Z</dcterms:created>
  <dcterms:modified xsi:type="dcterms:W3CDTF">2026-09-01T05:26:00Z</dcterms:modified>
  <cp:category/>
</cp:coreProperties>
</file>