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59"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0" distR="0">
            <wp:extent cx="1234440" cy="1234440"/>
            <wp:effectExtent b="0" l="0" r="0" t="0"/>
            <wp:docPr descr="WRhinos Cycling Club&#10;&#10;WRhinos Cycling Club logo" id="1073741826" name="image1.png"/>
            <a:graphic>
              <a:graphicData uri="http://schemas.openxmlformats.org/drawingml/2006/picture">
                <pic:pic>
                  <pic:nvPicPr>
                    <pic:cNvPr descr="WRhinos Cycling Club&#10;&#10;WRhinos Cycling Club logo" id="0" name="image1.png"/>
                    <pic:cNvPicPr preferRelativeResize="0"/>
                  </pic:nvPicPr>
                  <pic:blipFill>
                    <a:blip r:embed="rId7"/>
                    <a:srcRect b="0" l="0" r="0" t="0"/>
                    <a:stretch>
                      <a:fillRect/>
                    </a:stretch>
                  </pic:blipFill>
                  <pic:spPr>
                    <a:xfrm>
                      <a:off x="0" y="0"/>
                      <a:ext cx="1234440" cy="12344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40" w:line="259"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1"/>
          <w:bCs w:val="1"/>
          <w:i w:val="0"/>
          <w:iCs w:val="0"/>
          <w:smallCaps w:val="0"/>
          <w:strike w:val="0"/>
          <w:color w:val="203864"/>
          <w:sz w:val="48"/>
          <w:szCs w:val="48"/>
          <w:u w:val="none"/>
          <w:shd w:fill="auto" w:val="clear"/>
          <w:vertAlign w:val="baseline"/>
          <w:rtl w:val="0"/>
        </w:rPr>
        <w:t xml:space="preserve">W/RHINOS CONSTITUTION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960" w:before="0" w:line="259"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666666"/>
          <w:sz w:val="24"/>
          <w:szCs w:val="24"/>
          <w:u w:val="none"/>
          <w:shd w:fill="auto" w:val="clear"/>
          <w:vertAlign w:val="baseline"/>
          <w:rtl w:val="0"/>
        </w:rPr>
        <w:t xml:space="preserve">of an unincorporated association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500" w:line="259"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666666"/>
          <w:sz w:val="21"/>
          <w:szCs w:val="21"/>
          <w:u w:val="none"/>
          <w:shd w:fill="auto" w:val="clear"/>
          <w:vertAlign w:val="baseline"/>
          <w:rtl w:val="0"/>
        </w:rPr>
        <w:t xml:space="preserve">Freedom through Responsibility. Adventure through Community.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 Name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 The name of the association is W/Rhinos Cycling Club (the Association). It may use WRhinos or Birmingham W/Rhinos as informal names, but W/Rhinos Cycling Club is used for banking, insurance, contracts and official records.</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2. Objectives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2.1 The objectives of the Association are to promote cycling, organise cycling trips and related activities for its members, and sustain a welcoming community in which riders of different abilities are supported and encouraged to develop.</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2.2 The Association pursues these objects in accordance with the ethos: Freedom through Responsibility. Adventure through Community.</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3. Status and non-profit character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3.1 The Association is an unincorporated association and is not a separate legal person.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3.2 The Association is not established for profit. Its income and property are applied solely towards its objects, and no profit or surplus may be distributed to a member.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3.3 Clause 3.2 does not prevent reimbursement of properly incurred expenses, reasonable payment for goods or professional services supplied to the Association, or reimbursement of authorised trip or activity expenditure under clause 15.</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4. Powers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4.1 In furtherance of its objects, the Association may organise rides, trips and events; engage professional services; open and operate bank accounts; acquire and dispose of ordinary equipment; affiliate to cycling bodies; obtain insurance; raise funds; enter into contracts through authorised members; and do anything else lawful that furthers its objectives.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4.2 No member may commit the Association to a contract or expenditure unless authorised by this Constitution, an approved budget or a recorded Committee decision.</w:t>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5. Membership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5.1 Membership is open to a person who supports the objectives, agrees to observe this Constitution and the Ride Charter, completes the membership process, and is accepted by the Committee or its authorised Membership Secretary.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5.2 Membership is personal and cannot be transferred.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5.3 The Secretary or Membership Secretary maintains the register of members.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5.4 A person under 18 may be admitted only where a parent, or an adult authorised in writing by a parent, is also a member and accepts responsibility in accordance with the safeguarding arrangements. Members under 18 may not vote or serve on the Committee.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5.5 The people listed in the founding-member schedule approved at the adoption meeting become the initial members.</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6. Subscriptions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6.1 The members in general meeting may set an annual subscription and may approve different categories of membership.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6.2 Payments for a particular trip or activity are not membership subscriptions and are governed by clauses 14 and 15 and the applicable Trip or Activity Guide.</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7. Ending membership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7.1 Membership ends on written resignation, death, failure to pay a subscription within three months of it falling due, or expulsion under clause 20.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7.2 A former member has no personal claim on Association funds or property, without affecting any separate right to a refund or reconciliation relating to a particular activity.</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8. General meetings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8.1 An Annual General Meeting is held each year and no more than fifteen months after the previous Annual General Meeting. It receives the annual report and accounts, elects the Committee and considers properly notified business.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8.2 A Special General Meeting may be called by the Committee and must be called on a written request from ten members or one tenth of the membership, whichever is fewer.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8.3 At least twenty-one clear days' notice is given electronically to every member, stating the business to be considered.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8.4 The quorum is three voting members or one tenth of the voting membership, whichever is greater, rounded up, subject to a maximum quorum of ten.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8.5 Each member aged 18 or over has one vote. Except where this Constitution provides otherwise, decisions are by simple majority. The chair of the meeting has a casting vote if votes are equal.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8.6 Members may participate and vote remotely where suitable arrangements are provided.</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9. The Committee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9.1 The Association is managed between general meetings by a Committee of not fewer than three and not more than nine members in total, including officers and any co-opted members.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9.2 Committee members are elected at the Annual General Meeting and hold office until the end of the next Annual General Meeting. They may stand again.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9.3 The Committee may co-opt members and fill casual vacancies, provided the maximum of nine is not exceeded. A co-opted member holds office until the next Annual General Meeting and may vote.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9.4 A Committee member ceases to hold office on resignation, ending membership, removal by an ordinary resolution at a general meeting, or absence from three consecutive Committee meetings without reasonable explanation where the Committee resolves that the office is vacant.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9.5 Before a proposal to remove a Committee member is decided, the person must receive the reasons and a reasonable opportunity to respond.</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10. Officers and designated roles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10.1 The Committee includes a Chair, Secretary and Treasurer. No person may hold more than one of those three offices at the same time.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10.2 The members elect the officers at the Annual General Meeting. The Committee may appoint an acting officer from among its members to fill a vacancy until the next general meeting.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10.3 The Committee designates a Safeguarding Officer, Membership Secretary and Data Protection Lead. These roles may be combined with another Committee role where appropriate, but the Safeguarding Officer should not also be the principal person deciding a complaint.</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11. Committee proceedings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11.1 The Committee meets as often as its business requires and at least three times each year. The quorum is three, including at least one officer.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11.2 Decisions are by simple majority of those entitled to vote. The chair of the meeting has a casting vote if votes are equal.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11.3 A decision may be made electronically or by a written resolution where every Committee member has been given the same information and a majority of the full Committee confirms agreement. The decision is entered in the minutes of the next meeting.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11.4 A Committee member with a direct or indirect personal interest must declare it, withdraw from the relevant decision unless invited to provide information, and must not vote or count towards the quorum for that item.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11.5 Minutes are kept of general meetings, Committee meetings and written resolutions.</w:t>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12. Trips and operational authority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12.1 Each trip has a named Ride Coordinator and named Deputy, appointed by the Committee and identified in the Trip Guide before bookings open or as soon as reasonably practicable.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12.2 The Ride Coordinator holds the operational authority described in the Framework, including authority to change, shorten, delay or cancel planned activity and to restrict or end participation where there is an immediate safety concern. The Deputy holds that authority when the Coordinator is unavailable and, in a matter concerning the Coordinator personally.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12.3 Each trip must have a proportionate written risk assessment, emergency arrangements, incident-reporting process and clear allocation of responsibilities.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12.4 No activity may be organised as a race, time trial or mass-start competitive event.</w:t>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13. Finance and banking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13.1 The financial year ends on 31 December unless the members in general meeting determine otherwise.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13.2 The Association maintains a bank account in its official name with at least two authorised signatories. Association money must not be held in a member's personal current account.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13.3 Payment-approval limits and dual-authorisation requirements are set out in the Financial Controls Policy. A person may not approve a payment to themselves. Where the bank cannot technically provide dual authorisation, equivalent recorded approval must be obtained before payment.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13.4 The Treasurer keeps complete financial records, separate records for each trip or activity and an asset register.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13.5 Annual accounts are presented to the Annual General Meeting. The members may appoint an independent person who is not a Committee member to examine the accounts.</w:t>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14. Trip payments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14.1 Trips are intended to operate on a cost-recovery basis. The expected cost, maximum commitment without further consent, inclusions, exclusions, deposit, payment schedule and cancellation terms are published before a member books.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14.2 A deposit or cancellation charge must reflect committed costs and a reasonable estimate of loss; money not required for those purposes is returned or credited through the final reconciliation.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14.3 Trip costs are shared among the participants. The club collects a non-refundable deposit and interim payments to fund the trip, and the final cost is calculated after the trip once all costs are known. Each member pays their fair share of the actual costs of the trip they joined. Members accept that a fixed price is not set in advance, and that the final amount is confirmed only at the end.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14.4 Any administration or charitable contribution is stated separately. Its amount, treatment and intended recipient or selection process will be disclosed.</w:t>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15. Member-funded expenditure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15.1 The Committee may authorise a member to fund approved trip expenditure using personal means, including a credit card, in advance of reimbursement.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15.2 Reimbursement is at actual evidenced cost and is approved by someone other than the recipient. The authorisation, reimbursement and any loyalty, cashback or reward benefit retained by the funding member are recorded transparently.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15.3 A funding member has no authority to incur unapproved expenditure and has no claim beyond properly authorised and evidenced sums.</w:t>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16. Property and ordinary equipment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16.1 Equipment purchased with Association funds is treated as Association property and is recorded in the asset register.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16.2 Association equipment may be used, stored, transferred or disposed of only as the Committee authorises.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16.3 A member entrusted with Association equipment must take reasonable care of it and return it when requested. No member has a personal entitlement to Association property.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16.4 If the Association later proposes to acquire a substantial asset, the members must first approve an appropriate ownership and liability arrangement after professional advice.</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17. Insurance, affiliation and regulatory review</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17.1 The Committee obtains and maintains insurance appropriate to each activity and records any material limitations, territorial exclusions and conditions.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17.2 The Association may affiliate to a national cycling body. Officials, ride leaders and volunteers are registered where required by the affiliating body or insurer.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17.3 Before bookings open for a trip involving accommodation, transport or other combined travel services, the Committee must assess and record whether package-travel, insolvency-protection, tour-operator, insurance or other regulatory requirements may apply. Specialist advice is obtained where the position is not clear.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17.4 The Trip Guide accurately states the confirmed organisational insurance and financial-protection position. It must not describe a trip as outside legislation or covered by insurance unless that conclusion has been checked for the actual arrangements.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17.5 Riders remain responsible for arranging the personal travel, medical, repatriation, cycling and personal-liability cover specified for the trip.</w:t>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18. Personal data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18.1 The Association is the controller of personal data held about members and participants and processes it in accordance with its Privacy Notice and Retention Schedule.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18.2 Health information is collected only where reasonably necessary for safe participation. Access is restricted to the Ride Coordinator, Deputy and any other specifically authorised person who needs it for planning or emergency response.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18.3 The Committee designates a Data Protection Lead and reviews access, security, retention, subject-access and breach arrangements periodically.</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19. Safeguarding and younger participants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19.1 The Association maintains proportionate safeguarding arrangements consistent with the requirements of its affiliating body and insurer.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19.2 A participant under 18 must be accompanied throughout by a parent or an adult authorised in writing by a parent. This does not remove the Association's responsibility to respond appropriately to safeguarding concerns.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19.3 The Committee appoints a Safeguarding Officer and ensures that concerns are recorded, handled confidentially and referred where required.</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20. Conduct, complaints and discipline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20.1 Members are expected to observe the Ride Charter, Behaviour Standards and trip-specific safety requirements.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20.2 Immediate operational or safety action may be taken by the Ride Coordinator under clause 12. That decision takes effect immediately but is reviewed afterwards where it materially affected a participant.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20.3 A complaint or proposal to warn, suspend, restrict future participation or expel a member is considered by a panel of three appointed by the Committee, including at least one person not involved in the events concerned.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20.4 The member is told the substance of the concern, given reasonable time to respond, and receives the decision and reasons in writing.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20.5 An appeal may be made within fourteen days. It is decided by three people who did not make the original decision, appointed by the Committee or, where necessary, by the Chair of a general meeting. The appeal decision is final within the Association.</w:t>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21. The Framework and operational policies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21.1 Parts I and II of the W/Rhinos Framework express the Association's ethos and Ride Charter. They may be amended only by a general meeting.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21.2 Parts III to V, the Trip Guide template and operational policies guide consistent practice. The Committee may amend them and reports material changes to the next Annual General Meeting.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21.3 A Committee amendment cannot retrospectively increase a member's financial commitment, remove an accrued right, or determine the outcome of an existing complaint.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21.4 If this Constitution conflicts with the Framework or an operational policy, this Constitution prevails.</w:t>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22. Liability and indemnity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22.1 Nothing in this Constitution, the Framework, a Trip Guide or any participant declaration excludes or restricts liability where it cannot lawfully be excluded or restricted, including liability for death or personal injury resulting from negligence.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22.2 Subject to clause 22.1 and the funds available, the Association indemnifies a Committee member or authorised volunteer from Association funds against a liability properly incurred while acting honestly, within authority and for the Association. This does not cover fraud, dishonesty, wilful misconduct, reckless disregard of duty or a liability that insurance or law prevents the Association from meeting.</w:t>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23. Amendments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23.1 This Constitution may be amended at a general meeting by a two-thirds majority of those present and voting, where the proposed wording accompanied the meeting notice.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23.2 No amendment may permit distribution of profit or remaining assets to members.</w:t>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24. Dissolution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24.1 The Association may be dissolved by a two-thirds majority at a general meeting called for that purpose.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24.2 The Committee settles liabilities and completes any trip reconciliations. Remaining assets are transferred to one or more non-profit cycling, community or charitable bodies with similar objects, chosen by the members. They are not distributed among members.</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25. Interpretation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25.1 In this Constitution: Framework means the W/Rhinos Framework as amended; Trip Guide means the trip-specific document approved under the Framework; Committee includes the officers; and writing includes electronic communication.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25.2 The Committee may decide a question of interpretation subject to any contrary decision of a general meeting.</w:t>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Play" w:cs="Play" w:eastAsia="Play" w:hAnsi="Play"/>
          <w:b w:val="1"/>
          <w:bCs w:val="1"/>
          <w:i w:val="0"/>
          <w:iCs w:val="0"/>
          <w:smallCaps w:val="0"/>
          <w:strike w:val="0"/>
          <w:color w:val="203864"/>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203864"/>
          <w:sz w:val="32"/>
          <w:szCs w:val="32"/>
          <w:u w:val="none"/>
          <w:shd w:fill="auto" w:val="clear"/>
          <w:vertAlign w:val="baseline"/>
          <w:rtl w:val="0"/>
        </w:rPr>
        <w:t xml:space="preserve">Adoption and initial appointments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This Constitution was adopted by the founding members of W/Rhinos Cycling Club at a meeting held on: ____20.09.2026__________________________</w:t>
      </w:r>
    </w:p>
    <w:tbl>
      <w:tblPr>
        <w:tblStyle w:val="Table1"/>
        <w:tblW w:w="17006.0" w:type="dxa"/>
        <w:jc w:val="left"/>
        <w:tblInd w:w="2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4"/>
        <w:gridCol w:w="2348"/>
        <w:gridCol w:w="12844"/>
        <w:tblGridChange w:id="0">
          <w:tblGrid>
            <w:gridCol w:w="1814"/>
            <w:gridCol w:w="2348"/>
            <w:gridCol w:w="12844"/>
          </w:tblGrid>
        </w:tblGridChange>
      </w:tblGrid>
      <w:tr>
        <w:trPr>
          <w:cantSplit w:val="0"/>
          <w:trHeight w:val="202" w:hRule="atLeast"/>
          <w:tblHeader w:val="1"/>
        </w:trPr>
        <w:tc>
          <w:tcPr>
            <w:tcBorders>
              <w:top w:color="000000" w:space="0" w:sz="4" w:val="single"/>
              <w:left w:color="000000" w:space="0" w:sz="4" w:val="single"/>
              <w:bottom w:color="000000" w:space="0" w:sz="4" w:val="single"/>
              <w:right w:color="000000" w:space="0" w:sz="4" w:val="single"/>
            </w:tcBorders>
            <w:shd w:fill="f2f4f7" w:val="clear"/>
            <w:tcMar>
              <w:top w:w="80.0" w:type="dxa"/>
              <w:left w:w="80.0" w:type="dxa"/>
              <w:bottom w:w="80.0" w:type="dxa"/>
              <w:right w:w="8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03864"/>
                <w:sz w:val="19"/>
                <w:szCs w:val="19"/>
                <w:u w:val="none"/>
                <w:shd w:fill="auto" w:val="clear"/>
                <w:vertAlign w:val="baseli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4f7"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1"/>
                <w:bCs w:val="1"/>
                <w:i w:val="0"/>
                <w:iCs w:val="0"/>
                <w:smallCaps w:val="0"/>
                <w:strike w:val="0"/>
                <w:color w:val="203864"/>
                <w:sz w:val="19"/>
                <w:szCs w:val="19"/>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4f7" w:val="clear"/>
            <w:tcMar>
              <w:top w:w="80.0" w:type="dxa"/>
              <w:left w:w="80.0" w:type="dxa"/>
              <w:bottom w:w="80.0" w:type="dxa"/>
              <w:right w:w="8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03864"/>
                <w:sz w:val="19"/>
                <w:szCs w:val="19"/>
                <w:u w:val="none"/>
                <w:shd w:fill="auto" w:val="clear"/>
                <w:vertAlign w:val="baseline"/>
                <w:rtl w:val="0"/>
              </w:rPr>
              <w:t xml:space="preserve">Signature                        </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Ram Sugavanam</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Signature: Date: __20/09/2026____________</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Secretary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Maninder Kalkat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Signature: ______________________________    Date: ______________</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Treasurer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Manoj Sukumaran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Signature: ______________________________    Date: ______________</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Founding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Pallavi Latthe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bookmarkStart w:colFirst="0" w:colLast="0" w:name="_heading=h.7ilweq80vws4" w:id="0"/>
            <w:bookmarkEnd w:id="0"/>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Signature: ______________________________    Date: ______________</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Founding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Arasu Rayen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Signature: ______________________________    Date: ______________</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Founding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Anupam Gupta</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Signature: ______________________________    Date: ______________</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Founding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Aaron Dardi</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Signature: ______________________________    Date: ______________</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Founding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Ravinder Kalkat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Signature: ______________________________    Date: ______________</w:t>
            </w:r>
            <w:r w:rsidDel="00000000" w:rsidR="00000000" w:rsidRPr="00000000">
              <w:rPr>
                <w:rtl w:val="0"/>
              </w:rPr>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Founding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Kalpa Sundar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Signature: ____________   Date: 20/09/2026______________</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20" w:right="0" w:hanging="12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The initial Committee and founding members are those recorded in the signed founding-meeting minutes and schedules.</w:t>
      </w:r>
      <w:r w:rsidDel="00000000" w:rsidR="00000000" w:rsidRPr="00000000">
        <w:rPr>
          <w:rtl w:val="0"/>
        </w:rPr>
      </w:r>
    </w:p>
    <w:sectPr>
      <w:headerReference r:id="rId8" w:type="default"/>
      <w:footerReference r:id="rId9" w:type="default"/>
      <w:pgSz w:h="16840" w:w="11900" w:orient="portrait"/>
      <w:pgMar w:bottom="1134" w:top="1134" w:left="1247" w:right="124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8"/>
        <w:szCs w:val="18"/>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03864"/>
        <w:sz w:val="17"/>
        <w:szCs w:val="17"/>
        <w:u w:val="none"/>
        <w:shd w:fill="auto" w:val="clear"/>
        <w:vertAlign w:val="baseline"/>
        <w:rtl w:val="0"/>
      </w:rPr>
      <w:t xml:space="preserve">WRhinos Constitution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
    <w:name w:val="header"/>
    <w:pPr>
      <w:tabs>
        <w:tab w:val="center" w:pos="4680"/>
        <w:tab w:val="right" w:pos="9360"/>
      </w:tabs>
    </w:pPr>
    <w:rPr>
      <w:rFonts w:ascii="Aptos" w:cs="Aptos" w:eastAsia="Aptos" w:hAnsi="Aptos"/>
      <w:color w:val="000000"/>
      <w:sz w:val="21"/>
      <w:szCs w:val="21"/>
      <w:u w:color="000000"/>
      <w:lang w:val="en-US"/>
    </w:rPr>
  </w:style>
  <w:style w:type="paragraph" w:styleId="Footer">
    <w:name w:val="footer"/>
    <w:pPr>
      <w:tabs>
        <w:tab w:val="center" w:pos="4680"/>
        <w:tab w:val="right" w:pos="9360"/>
      </w:tabs>
    </w:pPr>
    <w:rPr>
      <w:rFonts w:ascii="Aptos" w:cs="Aptos" w:eastAsia="Aptos" w:hAnsi="Aptos"/>
      <w:color w:val="000000"/>
      <w:sz w:val="21"/>
      <w:szCs w:val="21"/>
      <w:u w:color="000000"/>
      <w:lang w:val="en-US"/>
    </w:rPr>
  </w:style>
  <w:style w:type="paragraph" w:styleId="Body" w:customStyle="1">
    <w:name w:val="Body"/>
    <w:pPr>
      <w:spacing w:after="120" w:line="259" w:lineRule="auto"/>
    </w:pPr>
    <w:rPr>
      <w:rFonts w:ascii="Aptos" w:cs="Aptos" w:eastAsia="Aptos" w:hAnsi="Aptos"/>
      <w:color w:val="000000"/>
      <w:sz w:val="21"/>
      <w:szCs w:val="21"/>
      <w:u w:color="000000"/>
      <w14:textOutline w14:cap="flat" w14:cmpd="sng" w14:algn="ctr">
        <w14:noFill/>
        <w14:prstDash w14:val="solid"/>
        <w14:bevel/>
      </w14:textOutline>
    </w:rPr>
  </w:style>
  <w:style w:type="paragraph" w:styleId="Heading" w:customStyle="1">
    <w:name w:val="Heading"/>
    <w:next w:val="Body"/>
    <w:pPr>
      <w:keepNext w:val="1"/>
      <w:keepLines w:val="1"/>
      <w:spacing w:after="140" w:before="280" w:line="259" w:lineRule="auto"/>
      <w:outlineLvl w:val="0"/>
    </w:pPr>
    <w:rPr>
      <w:rFonts w:ascii="Aptos Display" w:cs="Aptos Display" w:eastAsia="Aptos Display" w:hAnsi="Aptos Display"/>
      <w:b w:val="1"/>
      <w:bCs w:val="1"/>
      <w:color w:val="203864"/>
      <w:sz w:val="32"/>
      <w:szCs w:val="32"/>
      <w:u w:color="203864"/>
      <w14:textOutline w14:cap="flat" w14:cmpd="sng" w14:algn="ctr">
        <w14:noFill/>
        <w14:prstDash w14:val="solid"/>
        <w14:bevel/>
      </w14:textOutline>
    </w:rPr>
  </w:style>
  <w:style w:type="paragraph" w:styleId="NormalWeb">
    <w:name w:val="Normal (Web)"/>
    <w:basedOn w:val="Normal"/>
    <w:uiPriority w:val="99"/>
    <w:unhideWhenUsed w:val="1"/>
    <w:rsid w:val="00A50AD9"/>
    <w:pPr>
      <w:pBdr>
        <w:top w:color="auto" w:space="0" w:sz="0" w:val="none"/>
        <w:left w:color="auto" w:space="0" w:sz="0" w:val="none"/>
        <w:bottom w:color="auto" w:space="0" w:sz="0" w:val="none"/>
        <w:right w:color="auto" w:space="0" w:sz="0" w:val="none"/>
        <w:between w:color="auto" w:space="0" w:sz="0" w:val="none"/>
        <w:bar w:color="auto" w:space="0" w:sz="0" w:val="none"/>
      </w:pBdr>
      <w:spacing w:after="100" w:afterAutospacing="1" w:before="100" w:beforeAutospacing="1"/>
    </w:pPr>
    <w:rPr>
      <w:rFonts w:eastAsia="Times New Roman"/>
      <w:bdr w:color="auto" w:space="0" w:sz="0" w:val="none"/>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9y1a889hN/xww+rP9VkBuDUz0g==">CgMxLjAyDmguN2lsd2VxODB2d3M0OAByITFDaklFa1BGNWRUdHlxWUVpTW95bE1yam11aGg5SzJLUg==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2026-09-20T21:18:00Z</dcterms:created>
  <dc:creator>Ram Sugavanam</dc:creator>
</cp:coreProperties>
</file>