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96CA" w14:textId="4F937476" w:rsidR="001054C0" w:rsidRPr="0020045F" w:rsidRDefault="0020045F" w:rsidP="001054C0">
      <w:pPr>
        <w:spacing w:after="150" w:line="240" w:lineRule="auto"/>
        <w:jc w:val="center"/>
        <w:outlineLvl w:val="0"/>
        <w:rPr>
          <w:rFonts w:eastAsia="Times New Roman" w:cstheme="minorHAnsi"/>
          <w:b/>
          <w:bCs/>
          <w:kern w:val="36"/>
          <w:sz w:val="68"/>
          <w:szCs w:val="68"/>
          <w:lang w:eastAsia="en-IN"/>
          <w14:ligatures w14:val="none"/>
        </w:rPr>
      </w:pPr>
      <w:r w:rsidRPr="0020045F">
        <w:rPr>
          <w:rFonts w:eastAsia="Times New Roman" w:cstheme="minorHAnsi"/>
          <w:b/>
          <w:bCs/>
          <w:kern w:val="36"/>
          <w:sz w:val="68"/>
          <w:szCs w:val="68"/>
          <w:lang w:eastAsia="en-IN"/>
          <w14:ligatures w14:val="none"/>
        </w:rPr>
        <w:t>H</w:t>
      </w:r>
      <w:r w:rsidRPr="0020045F">
        <w:rPr>
          <w:rFonts w:eastAsia="Times New Roman" w:cstheme="minorHAnsi"/>
          <w:b/>
          <w:bCs/>
          <w:kern w:val="36"/>
          <w:sz w:val="68"/>
          <w:szCs w:val="68"/>
          <w:lang w:eastAsia="en-IN"/>
          <w14:ligatures w14:val="none"/>
        </w:rPr>
        <w:t>R Data Analysis Report</w:t>
      </w:r>
    </w:p>
    <w:p w14:paraId="6A66FEB1" w14:textId="2F0F50FC" w:rsidR="0020045F" w:rsidRDefault="0020045F" w:rsidP="0020045F">
      <w:pPr>
        <w:spacing w:after="0" w:line="240" w:lineRule="auto"/>
        <w:jc w:val="center"/>
        <w:rPr>
          <w:rFonts w:eastAsia="Times New Roman" w:cstheme="minorHAnsi"/>
          <w:kern w:val="0"/>
          <w:sz w:val="24"/>
          <w:szCs w:val="24"/>
          <w:lang w:eastAsia="en-IN"/>
          <w14:ligatures w14:val="none"/>
        </w:rPr>
      </w:pPr>
      <w:r w:rsidRPr="0020045F">
        <w:rPr>
          <w:rFonts w:eastAsia="Times New Roman" w:cstheme="minorHAnsi"/>
          <w:kern w:val="0"/>
          <w:sz w:val="24"/>
          <w:szCs w:val="24"/>
          <w:lang w:eastAsia="en-IN"/>
          <w14:ligatures w14:val="none"/>
        </w:rPr>
        <w:t>Comprehensive Workforce Analytics and Strategic Insights</w:t>
      </w:r>
    </w:p>
    <w:p w14:paraId="60B40F1B" w14:textId="77777777" w:rsidR="001054C0" w:rsidRDefault="001054C0" w:rsidP="0020045F">
      <w:pPr>
        <w:spacing w:after="0" w:line="240" w:lineRule="auto"/>
        <w:jc w:val="center"/>
        <w:rPr>
          <w:rFonts w:eastAsia="Times New Roman" w:cstheme="minorHAnsi"/>
          <w:kern w:val="0"/>
          <w:sz w:val="24"/>
          <w:szCs w:val="24"/>
          <w:lang w:eastAsia="en-IN"/>
          <w14:ligatures w14:val="none"/>
        </w:rPr>
      </w:pPr>
    </w:p>
    <w:p w14:paraId="72FE1A4C" w14:textId="49D04296" w:rsidR="00A556B2" w:rsidRPr="0020045F" w:rsidRDefault="00A556B2" w:rsidP="00A556B2">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6"/>
          <w:szCs w:val="36"/>
          <w:lang w:eastAsia="en-IN"/>
          <w14:ligatures w14:val="none"/>
        </w:rPr>
      </w:pPr>
    </w:p>
    <w:p w14:paraId="2EDC3DAC" w14:textId="77777777" w:rsidR="00A556B2" w:rsidRDefault="00A556B2" w:rsidP="00A556B2">
      <w:pPr>
        <w:spacing w:after="150" w:line="240" w:lineRule="auto"/>
        <w:outlineLvl w:val="2"/>
        <w:rPr>
          <w:rFonts w:eastAsia="Times New Roman" w:cstheme="minorHAnsi"/>
          <w:kern w:val="0"/>
          <w:sz w:val="24"/>
          <w:szCs w:val="24"/>
          <w:lang w:eastAsia="en-IN"/>
          <w14:ligatures w14:val="none"/>
        </w:rPr>
      </w:pPr>
    </w:p>
    <w:p w14:paraId="5AEE9389" w14:textId="5EC8861E" w:rsidR="001054C0" w:rsidRDefault="001054C0" w:rsidP="001054C0">
      <w:pPr>
        <w:spacing w:after="150" w:line="240" w:lineRule="auto"/>
        <w:jc w:val="center"/>
        <w:outlineLvl w:val="2"/>
        <w:rPr>
          <w:rFonts w:eastAsia="Times New Roman" w:cstheme="minorHAnsi"/>
          <w:kern w:val="0"/>
          <w:sz w:val="24"/>
          <w:szCs w:val="24"/>
          <w:lang w:eastAsia="en-IN"/>
          <w14:ligatures w14:val="none"/>
        </w:rPr>
      </w:pPr>
    </w:p>
    <w:p w14:paraId="46815B03" w14:textId="4DCE247C" w:rsidR="0020045F" w:rsidRPr="0020045F" w:rsidRDefault="0020045F" w:rsidP="001054C0">
      <w:pPr>
        <w:spacing w:after="150" w:line="240" w:lineRule="auto"/>
        <w:jc w:val="center"/>
        <w:outlineLvl w:val="2"/>
        <w:rPr>
          <w:rFonts w:ascii="Segoe UI" w:eastAsia="Times New Roman" w:hAnsi="Segoe UI" w:cs="Segoe UI"/>
          <w:b/>
          <w:bCs/>
          <w:caps/>
          <w:color w:val="666666"/>
          <w:spacing w:val="15"/>
          <w:kern w:val="0"/>
          <w:sz w:val="32"/>
          <w:szCs w:val="32"/>
          <w:lang w:eastAsia="en-IN"/>
          <w14:ligatures w14:val="none"/>
        </w:rPr>
      </w:pPr>
      <w:r w:rsidRPr="0020045F">
        <w:rPr>
          <w:rFonts w:eastAsia="Times New Roman" w:cstheme="minorHAnsi"/>
          <w:b/>
          <w:bCs/>
          <w:caps/>
          <w:color w:val="666666"/>
          <w:spacing w:val="15"/>
          <w:kern w:val="0"/>
          <w:sz w:val="32"/>
          <w:szCs w:val="32"/>
          <w:lang w:eastAsia="en-IN"/>
          <w14:ligatures w14:val="none"/>
        </w:rPr>
        <w:t>Total Employees</w:t>
      </w:r>
      <w:r w:rsidRPr="0020045F">
        <w:rPr>
          <w:rFonts w:eastAsia="Times New Roman" w:cstheme="minorHAnsi"/>
          <w:b/>
          <w:bCs/>
          <w:caps/>
          <w:spacing w:val="15"/>
          <w:kern w:val="0"/>
          <w:sz w:val="32"/>
          <w:szCs w:val="32"/>
          <w:lang w:eastAsia="en-IN"/>
          <w14:ligatures w14:val="none"/>
        </w:rPr>
        <w:t xml:space="preserve">       </w:t>
      </w:r>
      <w:r w:rsidRPr="0020045F">
        <w:rPr>
          <w:rFonts w:eastAsia="Times New Roman" w:cstheme="minorHAnsi"/>
          <w:b/>
          <w:bCs/>
          <w:caps/>
          <w:color w:val="666666"/>
          <w:spacing w:val="15"/>
          <w:kern w:val="0"/>
          <w:sz w:val="32"/>
          <w:szCs w:val="32"/>
          <w:lang w:eastAsia="en-IN"/>
          <w14:ligatures w14:val="none"/>
        </w:rPr>
        <w:t>Average Age</w:t>
      </w:r>
      <w:r w:rsidRPr="0020045F">
        <w:rPr>
          <w:rFonts w:eastAsia="Times New Roman" w:cstheme="minorHAnsi"/>
          <w:b/>
          <w:bCs/>
          <w:caps/>
          <w:color w:val="666666"/>
          <w:spacing w:val="15"/>
          <w:kern w:val="0"/>
          <w:sz w:val="32"/>
          <w:szCs w:val="32"/>
          <w:lang w:eastAsia="en-IN"/>
          <w14:ligatures w14:val="none"/>
        </w:rPr>
        <w:t xml:space="preserve">       </w:t>
      </w:r>
      <w:r w:rsidRPr="0020045F">
        <w:rPr>
          <w:rFonts w:eastAsia="Times New Roman" w:cstheme="minorHAnsi"/>
          <w:b/>
          <w:bCs/>
          <w:caps/>
          <w:color w:val="666666"/>
          <w:spacing w:val="15"/>
          <w:kern w:val="0"/>
          <w:sz w:val="32"/>
          <w:szCs w:val="32"/>
          <w:lang w:eastAsia="en-IN"/>
          <w14:ligatures w14:val="none"/>
        </w:rPr>
        <w:t>Avg Salary</w:t>
      </w:r>
    </w:p>
    <w:p w14:paraId="66811469" w14:textId="1B6C1351" w:rsidR="0020045F" w:rsidRPr="0020045F" w:rsidRDefault="0020045F" w:rsidP="001054C0">
      <w:pPr>
        <w:spacing w:after="0" w:line="240" w:lineRule="auto"/>
        <w:jc w:val="center"/>
        <w:rPr>
          <w:rFonts w:ascii="Segoe UI" w:eastAsia="Times New Roman" w:hAnsi="Segoe UI" w:cs="Segoe UI"/>
          <w:b/>
          <w:bCs/>
          <w:color w:val="2C5F6F"/>
          <w:kern w:val="0"/>
          <w:sz w:val="32"/>
          <w:szCs w:val="32"/>
          <w:lang w:eastAsia="en-IN"/>
          <w14:ligatures w14:val="none"/>
        </w:rPr>
      </w:pPr>
      <w:r w:rsidRPr="0020045F">
        <w:rPr>
          <w:rFonts w:eastAsia="Times New Roman" w:cstheme="minorHAnsi"/>
          <w:b/>
          <w:bCs/>
          <w:color w:val="2C5F6F"/>
          <w:kern w:val="0"/>
          <w:sz w:val="32"/>
          <w:szCs w:val="32"/>
          <w:lang w:eastAsia="en-IN"/>
          <w14:ligatures w14:val="none"/>
        </w:rPr>
        <w:t>1,470</w:t>
      </w:r>
      <w:r w:rsidRPr="0020045F">
        <w:rPr>
          <w:rFonts w:eastAsia="Times New Roman" w:cstheme="minorHAnsi"/>
          <w:b/>
          <w:bCs/>
          <w:color w:val="2C5F6F"/>
          <w:kern w:val="0"/>
          <w:sz w:val="32"/>
          <w:szCs w:val="32"/>
          <w:lang w:eastAsia="en-IN"/>
          <w14:ligatures w14:val="none"/>
        </w:rPr>
        <w:t xml:space="preserve">                     </w:t>
      </w:r>
      <w:r>
        <w:rPr>
          <w:rFonts w:eastAsia="Times New Roman" w:cstheme="minorHAnsi"/>
          <w:b/>
          <w:bCs/>
          <w:color w:val="2C5F6F"/>
          <w:kern w:val="0"/>
          <w:sz w:val="32"/>
          <w:szCs w:val="32"/>
          <w:lang w:eastAsia="en-IN"/>
          <w14:ligatures w14:val="none"/>
        </w:rPr>
        <w:t xml:space="preserve">              </w:t>
      </w:r>
      <w:r w:rsidRPr="0020045F">
        <w:rPr>
          <w:rFonts w:eastAsia="Times New Roman" w:cstheme="minorHAnsi"/>
          <w:b/>
          <w:bCs/>
          <w:color w:val="2C5F6F"/>
          <w:kern w:val="0"/>
          <w:sz w:val="32"/>
          <w:szCs w:val="32"/>
          <w:lang w:eastAsia="en-IN"/>
          <w14:ligatures w14:val="none"/>
        </w:rPr>
        <w:t>37</w:t>
      </w:r>
      <w:r w:rsidRPr="0020045F">
        <w:rPr>
          <w:rFonts w:eastAsia="Times New Roman" w:cstheme="minorHAnsi"/>
          <w:b/>
          <w:bCs/>
          <w:color w:val="2C5F6F"/>
          <w:kern w:val="0"/>
          <w:sz w:val="32"/>
          <w:szCs w:val="32"/>
          <w:lang w:eastAsia="en-IN"/>
          <w14:ligatures w14:val="none"/>
        </w:rPr>
        <w:t xml:space="preserve">                      </w:t>
      </w:r>
      <w:r>
        <w:rPr>
          <w:rFonts w:eastAsia="Times New Roman" w:cstheme="minorHAnsi"/>
          <w:b/>
          <w:bCs/>
          <w:color w:val="2C5F6F"/>
          <w:kern w:val="0"/>
          <w:sz w:val="32"/>
          <w:szCs w:val="32"/>
          <w:lang w:eastAsia="en-IN"/>
          <w14:ligatures w14:val="none"/>
        </w:rPr>
        <w:t xml:space="preserve">       </w:t>
      </w:r>
      <w:r w:rsidRPr="0020045F">
        <w:rPr>
          <w:rFonts w:eastAsia="Times New Roman" w:cstheme="minorHAnsi"/>
          <w:b/>
          <w:bCs/>
          <w:color w:val="2C5F6F"/>
          <w:kern w:val="0"/>
          <w:sz w:val="32"/>
          <w:szCs w:val="32"/>
          <w:lang w:eastAsia="en-IN"/>
          <w14:ligatures w14:val="none"/>
        </w:rPr>
        <w:t>6.50K</w:t>
      </w:r>
    </w:p>
    <w:p w14:paraId="00CB0832" w14:textId="00F8DFAF" w:rsidR="0020045F" w:rsidRPr="0020045F" w:rsidRDefault="0020045F" w:rsidP="001054C0">
      <w:pPr>
        <w:shd w:val="clear" w:color="auto" w:fill="FFFFFF"/>
        <w:spacing w:after="0" w:line="240" w:lineRule="auto"/>
        <w:jc w:val="center"/>
        <w:rPr>
          <w:rFonts w:eastAsia="Times New Roman" w:cstheme="minorHAnsi"/>
          <w:b/>
          <w:bCs/>
          <w:color w:val="2C5F6F"/>
          <w:kern w:val="0"/>
          <w:sz w:val="32"/>
          <w:szCs w:val="32"/>
          <w:lang w:eastAsia="en-IN"/>
          <w14:ligatures w14:val="none"/>
        </w:rPr>
      </w:pPr>
    </w:p>
    <w:p w14:paraId="370D28C9" w14:textId="77777777" w:rsidR="0020045F" w:rsidRPr="0020045F" w:rsidRDefault="0020045F" w:rsidP="001054C0">
      <w:pPr>
        <w:shd w:val="clear" w:color="auto" w:fill="FFFFFF"/>
        <w:spacing w:after="150" w:line="240" w:lineRule="auto"/>
        <w:jc w:val="center"/>
        <w:outlineLvl w:val="2"/>
        <w:rPr>
          <w:rFonts w:eastAsia="Times New Roman" w:cstheme="minorHAnsi"/>
          <w:b/>
          <w:bCs/>
          <w:caps/>
          <w:color w:val="666666"/>
          <w:spacing w:val="15"/>
          <w:kern w:val="0"/>
          <w:sz w:val="32"/>
          <w:szCs w:val="32"/>
          <w:lang w:eastAsia="en-IN"/>
          <w14:ligatures w14:val="none"/>
        </w:rPr>
      </w:pPr>
      <w:r w:rsidRPr="0020045F">
        <w:rPr>
          <w:rFonts w:eastAsia="Times New Roman" w:cstheme="minorHAnsi"/>
          <w:b/>
          <w:bCs/>
          <w:caps/>
          <w:color w:val="666666"/>
          <w:spacing w:val="15"/>
          <w:kern w:val="0"/>
          <w:sz w:val="32"/>
          <w:szCs w:val="32"/>
          <w:lang w:eastAsia="en-IN"/>
          <w14:ligatures w14:val="none"/>
        </w:rPr>
        <w:t>Avg Rating</w:t>
      </w:r>
      <w:r w:rsidRPr="0020045F">
        <w:rPr>
          <w:rFonts w:eastAsia="Times New Roman" w:cstheme="minorHAnsi"/>
          <w:b/>
          <w:bCs/>
          <w:caps/>
          <w:color w:val="666666"/>
          <w:spacing w:val="15"/>
          <w:kern w:val="0"/>
          <w:sz w:val="32"/>
          <w:szCs w:val="32"/>
          <w:lang w:eastAsia="en-IN"/>
          <w14:ligatures w14:val="none"/>
        </w:rPr>
        <w:t xml:space="preserve">                    </w:t>
      </w:r>
      <w:r w:rsidRPr="0020045F">
        <w:rPr>
          <w:rFonts w:eastAsia="Times New Roman" w:cstheme="minorHAnsi"/>
          <w:b/>
          <w:bCs/>
          <w:caps/>
          <w:color w:val="666666"/>
          <w:spacing w:val="15"/>
          <w:kern w:val="0"/>
          <w:sz w:val="32"/>
          <w:szCs w:val="32"/>
          <w:lang w:eastAsia="en-IN"/>
          <w14:ligatures w14:val="none"/>
        </w:rPr>
        <w:t>Attrition</w:t>
      </w:r>
    </w:p>
    <w:p w14:paraId="79C96A7A" w14:textId="65A3A1C4" w:rsidR="0020045F" w:rsidRDefault="0020045F" w:rsidP="001054C0">
      <w:pPr>
        <w:shd w:val="clear" w:color="auto" w:fill="FFFFFF"/>
        <w:spacing w:after="0" w:line="240" w:lineRule="auto"/>
        <w:jc w:val="center"/>
        <w:rPr>
          <w:rFonts w:eastAsia="Times New Roman" w:cstheme="minorHAnsi"/>
          <w:b/>
          <w:bCs/>
          <w:color w:val="2C5F6F"/>
          <w:kern w:val="0"/>
          <w:sz w:val="32"/>
          <w:szCs w:val="32"/>
          <w:lang w:eastAsia="en-IN"/>
          <w14:ligatures w14:val="none"/>
        </w:rPr>
      </w:pPr>
      <w:r w:rsidRPr="0020045F">
        <w:rPr>
          <w:rFonts w:eastAsia="Times New Roman" w:cstheme="minorHAnsi"/>
          <w:b/>
          <w:bCs/>
          <w:color w:val="2C5F6F"/>
          <w:kern w:val="0"/>
          <w:sz w:val="32"/>
          <w:szCs w:val="32"/>
          <w:lang w:eastAsia="en-IN"/>
          <w14:ligatures w14:val="none"/>
        </w:rPr>
        <w:t>3.15</w:t>
      </w:r>
      <w:r w:rsidRPr="0020045F">
        <w:rPr>
          <w:rFonts w:eastAsia="Times New Roman" w:cstheme="minorHAnsi"/>
          <w:b/>
          <w:bCs/>
          <w:color w:val="2C5F6F"/>
          <w:kern w:val="0"/>
          <w:sz w:val="32"/>
          <w:szCs w:val="32"/>
          <w:lang w:eastAsia="en-IN"/>
          <w14:ligatures w14:val="none"/>
        </w:rPr>
        <w:t xml:space="preserve">          </w:t>
      </w:r>
      <w:r>
        <w:rPr>
          <w:rFonts w:eastAsia="Times New Roman" w:cstheme="minorHAnsi"/>
          <w:b/>
          <w:bCs/>
          <w:color w:val="2C5F6F"/>
          <w:kern w:val="0"/>
          <w:sz w:val="32"/>
          <w:szCs w:val="32"/>
          <w:lang w:eastAsia="en-IN"/>
          <w14:ligatures w14:val="none"/>
        </w:rPr>
        <w:t xml:space="preserve">                                    </w:t>
      </w:r>
      <w:r w:rsidRPr="0020045F">
        <w:rPr>
          <w:rFonts w:eastAsia="Times New Roman" w:cstheme="minorHAnsi"/>
          <w:b/>
          <w:bCs/>
          <w:color w:val="2C5F6F"/>
          <w:kern w:val="0"/>
          <w:sz w:val="32"/>
          <w:szCs w:val="32"/>
          <w:lang w:eastAsia="en-IN"/>
          <w14:ligatures w14:val="none"/>
        </w:rPr>
        <w:t xml:space="preserve">  </w:t>
      </w:r>
      <w:r w:rsidRPr="0020045F">
        <w:rPr>
          <w:rFonts w:eastAsia="Times New Roman" w:cstheme="minorHAnsi"/>
          <w:b/>
          <w:bCs/>
          <w:color w:val="2C5F6F"/>
          <w:kern w:val="0"/>
          <w:sz w:val="32"/>
          <w:szCs w:val="32"/>
          <w:lang w:eastAsia="en-IN"/>
          <w14:ligatures w14:val="none"/>
        </w:rPr>
        <w:t>237</w:t>
      </w:r>
    </w:p>
    <w:p w14:paraId="01EFF081" w14:textId="77777777" w:rsidR="001054C0" w:rsidRPr="0020045F" w:rsidRDefault="001054C0" w:rsidP="001054C0">
      <w:pPr>
        <w:shd w:val="clear" w:color="auto" w:fill="FFFFFF"/>
        <w:spacing w:after="0" w:line="240" w:lineRule="auto"/>
        <w:jc w:val="center"/>
        <w:rPr>
          <w:rFonts w:eastAsia="Times New Roman" w:cstheme="minorHAnsi"/>
          <w:b/>
          <w:bCs/>
          <w:color w:val="2C5F6F"/>
          <w:kern w:val="0"/>
          <w:sz w:val="32"/>
          <w:szCs w:val="32"/>
          <w:lang w:eastAsia="en-IN"/>
          <w14:ligatures w14:val="none"/>
        </w:rPr>
      </w:pPr>
    </w:p>
    <w:p w14:paraId="3CAD5B99" w14:textId="3F06BC23" w:rsidR="0020045F" w:rsidRPr="0020045F" w:rsidRDefault="0020045F" w:rsidP="0020045F">
      <w:pPr>
        <w:spacing w:after="0" w:line="240" w:lineRule="auto"/>
        <w:rPr>
          <w:rFonts w:ascii="Segoe UI" w:eastAsia="Times New Roman" w:hAnsi="Segoe UI" w:cs="Segoe UI"/>
          <w:b/>
          <w:bCs/>
          <w:color w:val="2C5F6F"/>
          <w:kern w:val="0"/>
          <w:sz w:val="60"/>
          <w:szCs w:val="60"/>
          <w:lang w:eastAsia="en-IN"/>
          <w14:ligatures w14:val="none"/>
        </w:rPr>
      </w:pPr>
    </w:p>
    <w:p w14:paraId="6F833EA8" w14:textId="1907B4E2" w:rsidR="001054C0" w:rsidRPr="0020045F" w:rsidRDefault="0020045F"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r w:rsidRPr="0020045F">
        <w:rPr>
          <w:rFonts w:eastAsia="Times New Roman" w:cstheme="minorHAnsi"/>
          <w:b/>
          <w:bCs/>
          <w:color w:val="2C5F6F"/>
          <w:kern w:val="0"/>
          <w:sz w:val="32"/>
          <w:szCs w:val="32"/>
          <w:lang w:eastAsia="en-IN"/>
          <w14:ligatures w14:val="none"/>
        </w:rPr>
        <w:t>Executive Summary</w:t>
      </w:r>
    </w:p>
    <w:p w14:paraId="3AF5A9ED" w14:textId="77777777" w:rsidR="0020045F" w:rsidRPr="0020045F" w:rsidRDefault="0020045F" w:rsidP="0020045F">
      <w:pPr>
        <w:shd w:val="clear" w:color="auto" w:fill="FFFFFF"/>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This report provides a comprehensive analysis of the organization's human resources metrics based on the HR Data Analysis Dashboard. The analysis covers workforce demographics, compensation patterns, attrition trends, and departmental insights across 1,470 employees.</w:t>
      </w:r>
    </w:p>
    <w:p w14:paraId="4D1A7885" w14:textId="2B3FB4C8" w:rsidR="001054C0" w:rsidRPr="001054C0" w:rsidRDefault="0020045F" w:rsidP="001054C0">
      <w:pPr>
        <w:shd w:val="clear" w:color="auto" w:fill="FFFFFF"/>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The organization maintains an average employee age of 37 years with an average salary of $6,500. The overall employee satisfaction rating stands at 3.15 out of 5, indicating moderate engagement levels. With 237 employee departures recorded, the organization faces significant retention challenges that require strategic intervention.</w:t>
      </w:r>
    </w:p>
    <w:p w14:paraId="68C7D4FF" w14:textId="77777777" w:rsidR="001054C0" w:rsidRDefault="001054C0"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p>
    <w:p w14:paraId="0B864633" w14:textId="77777777" w:rsidR="001054C0" w:rsidRDefault="001054C0"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p>
    <w:p w14:paraId="5FE3974A" w14:textId="77777777" w:rsidR="001054C0" w:rsidRDefault="001054C0"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p>
    <w:p w14:paraId="7DEB98BB" w14:textId="77777777" w:rsidR="001054C0" w:rsidRDefault="001054C0"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p>
    <w:p w14:paraId="4606CB57" w14:textId="77777777" w:rsidR="001054C0" w:rsidRDefault="001054C0"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p>
    <w:p w14:paraId="679F2C39" w14:textId="659A59DA" w:rsidR="0020045F" w:rsidRPr="0020045F" w:rsidRDefault="0020045F"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r w:rsidRPr="0020045F">
        <w:rPr>
          <w:rFonts w:eastAsia="Times New Roman" w:cstheme="minorHAnsi"/>
          <w:b/>
          <w:bCs/>
          <w:color w:val="2C5F6F"/>
          <w:kern w:val="0"/>
          <w:sz w:val="32"/>
          <w:szCs w:val="32"/>
          <w:lang w:eastAsia="en-IN"/>
          <w14:ligatures w14:val="none"/>
        </w:rPr>
        <w:lastRenderedPageBreak/>
        <w:t>Workforce Demographics and Attrition Analysis</w:t>
      </w:r>
    </w:p>
    <w:p w14:paraId="195A42AE" w14:textId="4EC78EAF" w:rsidR="001054C0" w:rsidRDefault="001054C0" w:rsidP="0020045F">
      <w:pPr>
        <w:shd w:val="clear" w:color="auto" w:fill="FFFFFF"/>
        <w:spacing w:before="375" w:after="100" w:afterAutospacing="1" w:line="240" w:lineRule="auto"/>
        <w:outlineLvl w:val="2"/>
        <w:rPr>
          <w:rFonts w:eastAsia="Times New Roman" w:cstheme="minorHAnsi"/>
          <w:b/>
          <w:bCs/>
          <w:color w:val="4A8FA0"/>
          <w:kern w:val="0"/>
          <w:sz w:val="27"/>
          <w:szCs w:val="27"/>
          <w:lang w:eastAsia="en-IN"/>
          <w14:ligatures w14:val="none"/>
        </w:rPr>
      </w:pPr>
      <w:r>
        <w:rPr>
          <w:rFonts w:eastAsia="Times New Roman" w:cstheme="minorHAnsi"/>
          <w:b/>
          <w:bCs/>
          <w:noProof/>
          <w:color w:val="4A8FA0"/>
          <w:kern w:val="0"/>
          <w:sz w:val="27"/>
          <w:szCs w:val="27"/>
          <w:lang w:eastAsia="en-IN"/>
        </w:rPr>
        <w:drawing>
          <wp:inline distT="0" distB="0" distL="0" distR="0" wp14:anchorId="58B9A105" wp14:editId="03CD8AE2">
            <wp:extent cx="2679700" cy="1980834"/>
            <wp:effectExtent l="0" t="0" r="6350" b="635"/>
            <wp:docPr id="900232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32824" name="Picture 900232824"/>
                    <pic:cNvPicPr/>
                  </pic:nvPicPr>
                  <pic:blipFill>
                    <a:blip r:embed="rId5">
                      <a:extLst>
                        <a:ext uri="{28A0092B-C50C-407E-A947-70E740481C1C}">
                          <a14:useLocalDpi xmlns:a14="http://schemas.microsoft.com/office/drawing/2010/main" val="0"/>
                        </a:ext>
                      </a:extLst>
                    </a:blip>
                    <a:stretch>
                      <a:fillRect/>
                    </a:stretch>
                  </pic:blipFill>
                  <pic:spPr>
                    <a:xfrm>
                      <a:off x="0" y="0"/>
                      <a:ext cx="2688235" cy="1987143"/>
                    </a:xfrm>
                    <a:prstGeom prst="rect">
                      <a:avLst/>
                    </a:prstGeom>
                  </pic:spPr>
                </pic:pic>
              </a:graphicData>
            </a:graphic>
          </wp:inline>
        </w:drawing>
      </w:r>
    </w:p>
    <w:p w14:paraId="4291A615" w14:textId="71B671D9" w:rsidR="00514EEA" w:rsidRPr="00514EEA" w:rsidRDefault="0020045F" w:rsidP="00514EEA">
      <w:pPr>
        <w:shd w:val="clear" w:color="auto" w:fill="E8F4F8"/>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2C5F6F"/>
          <w:kern w:val="0"/>
          <w:sz w:val="24"/>
          <w:szCs w:val="24"/>
          <w:lang w:eastAsia="en-IN"/>
          <w14:ligatures w14:val="none"/>
        </w:rPr>
        <w:t>Key Finding:</w:t>
      </w:r>
      <w:r w:rsidRPr="0020045F">
        <w:rPr>
          <w:rFonts w:eastAsia="Times New Roman" w:cstheme="minorHAnsi"/>
          <w:color w:val="333333"/>
          <w:kern w:val="0"/>
          <w:sz w:val="24"/>
          <w:szCs w:val="24"/>
          <w:lang w:eastAsia="en-IN"/>
          <w14:ligatures w14:val="none"/>
        </w:rPr>
        <w:t> The attrition analysis reveals a notable gender disparity, with males representing 60% of departures compared to females at 40%. This 20-percentage-point difference suggests potential gender-specific retention challenges that may be linked to career progression, work-life balance policies, or compensation equity issues.</w:t>
      </w:r>
    </w:p>
    <w:p w14:paraId="4068E025" w14:textId="77777777" w:rsidR="00514EEA" w:rsidRDefault="00514EEA" w:rsidP="00514EEA">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p>
    <w:p w14:paraId="4DDD9169" w14:textId="48204B3A" w:rsidR="00514EEA" w:rsidRPr="0020045F" w:rsidRDefault="00514EEA" w:rsidP="00514EEA">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r w:rsidRPr="00514EEA">
        <w:rPr>
          <w:rFonts w:eastAsia="Times New Roman" w:cstheme="minorHAnsi"/>
          <w:b/>
          <w:bCs/>
          <w:color w:val="2C5F6F"/>
          <w:kern w:val="0"/>
          <w:sz w:val="32"/>
          <w:szCs w:val="32"/>
          <w:lang w:eastAsia="en-IN"/>
          <w14:ligatures w14:val="none"/>
        </w:rPr>
        <w:t>Educational Background Impact on Attrition</w:t>
      </w:r>
    </w:p>
    <w:p w14:paraId="18A3EA20" w14:textId="6FC406E5" w:rsidR="001054C0" w:rsidRDefault="001054C0" w:rsidP="0020045F">
      <w:pPr>
        <w:shd w:val="clear" w:color="auto" w:fill="FFFFFF"/>
        <w:spacing w:before="375" w:after="100" w:afterAutospacing="1" w:line="240" w:lineRule="auto"/>
        <w:outlineLvl w:val="2"/>
        <w:rPr>
          <w:rFonts w:eastAsia="Times New Roman" w:cstheme="minorHAnsi"/>
          <w:b/>
          <w:bCs/>
          <w:color w:val="4A8FA0"/>
          <w:kern w:val="0"/>
          <w:sz w:val="27"/>
          <w:szCs w:val="27"/>
          <w:lang w:eastAsia="en-IN"/>
          <w14:ligatures w14:val="none"/>
        </w:rPr>
      </w:pPr>
      <w:r>
        <w:rPr>
          <w:rFonts w:eastAsia="Times New Roman" w:cstheme="minorHAnsi"/>
          <w:b/>
          <w:bCs/>
          <w:noProof/>
          <w:color w:val="4A8FA0"/>
          <w:kern w:val="0"/>
          <w:sz w:val="27"/>
          <w:szCs w:val="27"/>
          <w:lang w:eastAsia="en-IN"/>
        </w:rPr>
        <w:drawing>
          <wp:inline distT="0" distB="0" distL="0" distR="0" wp14:anchorId="4E497AE6" wp14:editId="147652C3">
            <wp:extent cx="3175000" cy="2045335"/>
            <wp:effectExtent l="0" t="0" r="6350" b="0"/>
            <wp:docPr id="526227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7937" name="Picture 526227937"/>
                    <pic:cNvPicPr/>
                  </pic:nvPicPr>
                  <pic:blipFill>
                    <a:blip r:embed="rId6">
                      <a:extLst>
                        <a:ext uri="{28A0092B-C50C-407E-A947-70E740481C1C}">
                          <a14:useLocalDpi xmlns:a14="http://schemas.microsoft.com/office/drawing/2010/main" val="0"/>
                        </a:ext>
                      </a:extLst>
                    </a:blip>
                    <a:stretch>
                      <a:fillRect/>
                    </a:stretch>
                  </pic:blipFill>
                  <pic:spPr>
                    <a:xfrm>
                      <a:off x="0" y="0"/>
                      <a:ext cx="3183774" cy="2050987"/>
                    </a:xfrm>
                    <a:prstGeom prst="rect">
                      <a:avLst/>
                    </a:prstGeom>
                  </pic:spPr>
                </pic:pic>
              </a:graphicData>
            </a:graphic>
          </wp:inline>
        </w:drawing>
      </w:r>
    </w:p>
    <w:p w14:paraId="6E8BD936" w14:textId="2E0824BD" w:rsidR="0020045F" w:rsidRPr="0020045F" w:rsidRDefault="0020045F" w:rsidP="0020045F">
      <w:pPr>
        <w:shd w:val="clear" w:color="auto" w:fill="E8F4F8"/>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2C5F6F"/>
          <w:kern w:val="0"/>
          <w:sz w:val="24"/>
          <w:szCs w:val="24"/>
          <w:lang w:eastAsia="en-IN"/>
          <w14:ligatures w14:val="none"/>
        </w:rPr>
        <w:t>Critical Insight:</w:t>
      </w:r>
      <w:r w:rsidRPr="0020045F">
        <w:rPr>
          <w:rFonts w:eastAsia="Times New Roman" w:cstheme="minorHAnsi"/>
          <w:color w:val="333333"/>
          <w:kern w:val="0"/>
          <w:sz w:val="24"/>
          <w:szCs w:val="24"/>
          <w:lang w:eastAsia="en-IN"/>
          <w14:ligatures w14:val="none"/>
        </w:rPr>
        <w:t> Life Sciences emerges as the dominant educational background among departing employees with 89 individuals (37.6% of total attrition), followed by Medical at 63 (26.6%). These two fields alone account for nearly two-thirds of all attrition, suggesting significant challenges in retaining specialized STEM talent. This concentration likely reflects competitive market pressures, limited internal advancement opportunities, or better external offers in these high-demand fields.</w:t>
      </w:r>
    </w:p>
    <w:p w14:paraId="55D72B8D" w14:textId="77777777" w:rsidR="00514EEA" w:rsidRDefault="00514EEA"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6"/>
          <w:szCs w:val="36"/>
          <w:lang w:eastAsia="en-IN"/>
          <w14:ligatures w14:val="none"/>
        </w:rPr>
      </w:pPr>
    </w:p>
    <w:p w14:paraId="3E70ADF0" w14:textId="77777777" w:rsidR="00514EEA" w:rsidRDefault="00514EEA"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6"/>
          <w:szCs w:val="36"/>
          <w:lang w:eastAsia="en-IN"/>
          <w14:ligatures w14:val="none"/>
        </w:rPr>
      </w:pPr>
    </w:p>
    <w:p w14:paraId="0618CC28" w14:textId="3FFBEAEF" w:rsidR="0020045F" w:rsidRPr="0020045F" w:rsidRDefault="0020045F"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6"/>
          <w:szCs w:val="36"/>
          <w:lang w:eastAsia="en-IN"/>
          <w14:ligatures w14:val="none"/>
        </w:rPr>
      </w:pPr>
      <w:r w:rsidRPr="0020045F">
        <w:rPr>
          <w:rFonts w:eastAsia="Times New Roman" w:cstheme="minorHAnsi"/>
          <w:b/>
          <w:bCs/>
          <w:color w:val="2C5F6F"/>
          <w:kern w:val="0"/>
          <w:sz w:val="36"/>
          <w:szCs w:val="36"/>
          <w:lang w:eastAsia="en-IN"/>
          <w14:ligatures w14:val="none"/>
        </w:rPr>
        <w:lastRenderedPageBreak/>
        <w:t>Compensation Analysis</w:t>
      </w:r>
    </w:p>
    <w:p w14:paraId="005CBE6D" w14:textId="77777777" w:rsidR="0020045F" w:rsidRPr="00514EEA" w:rsidRDefault="0020045F" w:rsidP="0020045F">
      <w:pPr>
        <w:shd w:val="clear" w:color="auto" w:fill="FFFFFF"/>
        <w:spacing w:before="375" w:after="100" w:afterAutospacing="1" w:line="240" w:lineRule="auto"/>
        <w:outlineLvl w:val="2"/>
        <w:rPr>
          <w:rFonts w:eastAsia="Times New Roman" w:cstheme="minorHAnsi"/>
          <w:b/>
          <w:bCs/>
          <w:color w:val="4A8FA0"/>
          <w:kern w:val="0"/>
          <w:sz w:val="28"/>
          <w:szCs w:val="28"/>
          <w:lang w:eastAsia="en-IN"/>
          <w14:ligatures w14:val="none"/>
        </w:rPr>
      </w:pPr>
      <w:r w:rsidRPr="0020045F">
        <w:rPr>
          <w:rFonts w:eastAsia="Times New Roman" w:cstheme="minorHAnsi"/>
          <w:b/>
          <w:bCs/>
          <w:color w:val="4A8FA0"/>
          <w:kern w:val="0"/>
          <w:sz w:val="28"/>
          <w:szCs w:val="28"/>
          <w:lang w:eastAsia="en-IN"/>
          <w14:ligatures w14:val="none"/>
        </w:rPr>
        <w:t>Salary Distribution Across Job Roles</w:t>
      </w:r>
    </w:p>
    <w:p w14:paraId="255AEE43" w14:textId="4648E0C2" w:rsidR="00514EEA" w:rsidRDefault="00514EEA" w:rsidP="0020045F">
      <w:pPr>
        <w:shd w:val="clear" w:color="auto" w:fill="FFFFFF"/>
        <w:spacing w:before="375" w:after="100" w:afterAutospacing="1" w:line="240" w:lineRule="auto"/>
        <w:outlineLvl w:val="2"/>
        <w:rPr>
          <w:rFonts w:eastAsia="Times New Roman" w:cstheme="minorHAnsi"/>
          <w:b/>
          <w:bCs/>
          <w:color w:val="4A8FA0"/>
          <w:kern w:val="0"/>
          <w:sz w:val="27"/>
          <w:szCs w:val="27"/>
          <w:lang w:eastAsia="en-IN"/>
          <w14:ligatures w14:val="none"/>
        </w:rPr>
      </w:pPr>
      <w:r>
        <w:rPr>
          <w:rFonts w:eastAsia="Times New Roman" w:cstheme="minorHAnsi"/>
          <w:b/>
          <w:bCs/>
          <w:noProof/>
          <w:color w:val="4A8FA0"/>
          <w:kern w:val="0"/>
          <w:sz w:val="27"/>
          <w:szCs w:val="27"/>
          <w:lang w:eastAsia="en-IN"/>
        </w:rPr>
        <w:drawing>
          <wp:inline distT="0" distB="0" distL="0" distR="0" wp14:anchorId="74E34FFC" wp14:editId="7EF30452">
            <wp:extent cx="3962400" cy="2266493"/>
            <wp:effectExtent l="0" t="0" r="0" b="635"/>
            <wp:docPr id="737818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8707" name="Picture 737818707"/>
                    <pic:cNvPicPr/>
                  </pic:nvPicPr>
                  <pic:blipFill>
                    <a:blip r:embed="rId7">
                      <a:extLst>
                        <a:ext uri="{28A0092B-C50C-407E-A947-70E740481C1C}">
                          <a14:useLocalDpi xmlns:a14="http://schemas.microsoft.com/office/drawing/2010/main" val="0"/>
                        </a:ext>
                      </a:extLst>
                    </a:blip>
                    <a:stretch>
                      <a:fillRect/>
                    </a:stretch>
                  </pic:blipFill>
                  <pic:spPr>
                    <a:xfrm>
                      <a:off x="0" y="0"/>
                      <a:ext cx="3971777" cy="2271856"/>
                    </a:xfrm>
                    <a:prstGeom prst="rect">
                      <a:avLst/>
                    </a:prstGeom>
                  </pic:spPr>
                </pic:pic>
              </a:graphicData>
            </a:graphic>
          </wp:inline>
        </w:drawing>
      </w:r>
    </w:p>
    <w:p w14:paraId="0E93B5D7" w14:textId="134D512A" w:rsidR="0020045F" w:rsidRPr="0020045F" w:rsidRDefault="0020045F" w:rsidP="0020045F">
      <w:pPr>
        <w:shd w:val="clear" w:color="auto" w:fill="E8F4F8"/>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2C5F6F"/>
          <w:kern w:val="0"/>
          <w:sz w:val="24"/>
          <w:szCs w:val="24"/>
          <w:lang w:eastAsia="en-IN"/>
          <w14:ligatures w14:val="none"/>
        </w:rPr>
        <w:t>Compensation Hierarchy:</w:t>
      </w:r>
      <w:r w:rsidRPr="0020045F">
        <w:rPr>
          <w:rFonts w:eastAsia="Times New Roman" w:cstheme="minorHAnsi"/>
          <w:color w:val="333333"/>
          <w:kern w:val="0"/>
          <w:sz w:val="24"/>
          <w:szCs w:val="24"/>
          <w:lang w:eastAsia="en-IN"/>
          <w14:ligatures w14:val="none"/>
        </w:rPr>
        <w:t> A clear three-tier compensation structure exists:</w:t>
      </w:r>
    </w:p>
    <w:p w14:paraId="53B3B845" w14:textId="77777777" w:rsidR="0020045F" w:rsidRPr="0020045F" w:rsidRDefault="0020045F" w:rsidP="0020045F">
      <w:pPr>
        <w:numPr>
          <w:ilvl w:val="0"/>
          <w:numId w:val="3"/>
        </w:numPr>
        <w:shd w:val="clear" w:color="auto" w:fill="E8F4F8"/>
        <w:spacing w:before="100" w:beforeAutospacing="1" w:after="15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2C5F6F"/>
          <w:kern w:val="0"/>
          <w:sz w:val="24"/>
          <w:szCs w:val="24"/>
          <w:lang w:eastAsia="en-IN"/>
          <w14:ligatures w14:val="none"/>
        </w:rPr>
        <w:t>Senior Leadership ($16K-17K):</w:t>
      </w:r>
      <w:r w:rsidRPr="0020045F">
        <w:rPr>
          <w:rFonts w:eastAsia="Times New Roman" w:cstheme="minorHAnsi"/>
          <w:color w:val="333333"/>
          <w:kern w:val="0"/>
          <w:sz w:val="24"/>
          <w:szCs w:val="24"/>
          <w:lang w:eastAsia="en-IN"/>
          <w14:ligatures w14:val="none"/>
        </w:rPr>
        <w:t> Managers and Research Directors command premium salaries</w:t>
      </w:r>
    </w:p>
    <w:p w14:paraId="30B10DA1" w14:textId="77777777" w:rsidR="0020045F" w:rsidRPr="0020045F" w:rsidRDefault="0020045F" w:rsidP="0020045F">
      <w:pPr>
        <w:numPr>
          <w:ilvl w:val="0"/>
          <w:numId w:val="3"/>
        </w:numPr>
        <w:shd w:val="clear" w:color="auto" w:fill="E8F4F8"/>
        <w:spacing w:before="100" w:beforeAutospacing="1" w:after="15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2C5F6F"/>
          <w:kern w:val="0"/>
          <w:sz w:val="24"/>
          <w:szCs w:val="24"/>
          <w:lang w:eastAsia="en-IN"/>
          <w14:ligatures w14:val="none"/>
        </w:rPr>
        <w:t>Mid-Level Professionals ($7K-8K):</w:t>
      </w:r>
      <w:r w:rsidRPr="0020045F">
        <w:rPr>
          <w:rFonts w:eastAsia="Times New Roman" w:cstheme="minorHAnsi"/>
          <w:color w:val="333333"/>
          <w:kern w:val="0"/>
          <w:sz w:val="24"/>
          <w:szCs w:val="24"/>
          <w:lang w:eastAsia="en-IN"/>
          <w14:ligatures w14:val="none"/>
        </w:rPr>
        <w:t> Healthcare Representatives, Manufacturing Directors, and Sales Executives</w:t>
      </w:r>
    </w:p>
    <w:p w14:paraId="136495CF" w14:textId="77777777" w:rsidR="0020045F" w:rsidRPr="0020045F" w:rsidRDefault="0020045F" w:rsidP="0020045F">
      <w:pPr>
        <w:numPr>
          <w:ilvl w:val="0"/>
          <w:numId w:val="3"/>
        </w:numPr>
        <w:shd w:val="clear" w:color="auto" w:fill="E8F4F8"/>
        <w:spacing w:before="100" w:beforeAutospacing="1" w:after="15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2C5F6F"/>
          <w:kern w:val="0"/>
          <w:sz w:val="24"/>
          <w:szCs w:val="24"/>
          <w:lang w:eastAsia="en-IN"/>
          <w14:ligatures w14:val="none"/>
        </w:rPr>
        <w:t>Entry to Mid-Level ($3K-4K):</w:t>
      </w:r>
      <w:r w:rsidRPr="0020045F">
        <w:rPr>
          <w:rFonts w:eastAsia="Times New Roman" w:cstheme="minorHAnsi"/>
          <w:color w:val="333333"/>
          <w:kern w:val="0"/>
          <w:sz w:val="24"/>
          <w:szCs w:val="24"/>
          <w:lang w:eastAsia="en-IN"/>
          <w14:ligatures w14:val="none"/>
        </w:rPr>
        <w:t> HR staff, Research Scientists, Laboratory Technicians, and Sales Representatives</w:t>
      </w:r>
    </w:p>
    <w:p w14:paraId="1F365D17" w14:textId="77777777" w:rsidR="00426BAA" w:rsidRDefault="00426BAA" w:rsidP="0020045F">
      <w:pPr>
        <w:shd w:val="clear" w:color="auto" w:fill="FFFFFF"/>
        <w:spacing w:before="375" w:after="100" w:afterAutospacing="1" w:line="240" w:lineRule="auto"/>
        <w:outlineLvl w:val="2"/>
        <w:rPr>
          <w:rFonts w:eastAsia="Times New Roman" w:cstheme="minorHAnsi"/>
          <w:b/>
          <w:bCs/>
          <w:color w:val="4A8FA0"/>
          <w:kern w:val="0"/>
          <w:sz w:val="32"/>
          <w:szCs w:val="32"/>
          <w:lang w:eastAsia="en-IN"/>
          <w14:ligatures w14:val="none"/>
        </w:rPr>
      </w:pPr>
    </w:p>
    <w:p w14:paraId="21855DF5" w14:textId="190BA03B" w:rsidR="00426BAA" w:rsidRPr="0020045F" w:rsidRDefault="0020045F" w:rsidP="00426BAA">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6"/>
          <w:szCs w:val="36"/>
          <w:lang w:eastAsia="en-IN"/>
          <w14:ligatures w14:val="none"/>
        </w:rPr>
      </w:pPr>
      <w:r w:rsidRPr="0020045F">
        <w:rPr>
          <w:rFonts w:eastAsia="Times New Roman" w:cstheme="minorHAnsi"/>
          <w:b/>
          <w:bCs/>
          <w:color w:val="4A8FA0"/>
          <w:kern w:val="0"/>
          <w:sz w:val="32"/>
          <w:szCs w:val="32"/>
          <w:lang w:eastAsia="en-IN"/>
          <w14:ligatures w14:val="none"/>
        </w:rPr>
        <w:t>Departmental Salary Increase Trends</w:t>
      </w:r>
      <w:r w:rsidR="00426BAA" w:rsidRPr="00426BAA">
        <w:rPr>
          <w:rFonts w:eastAsia="Times New Roman" w:cstheme="minorHAnsi"/>
          <w:b/>
          <w:bCs/>
          <w:color w:val="2C5F6F"/>
          <w:kern w:val="0"/>
          <w:sz w:val="36"/>
          <w:szCs w:val="36"/>
          <w:lang w:eastAsia="en-IN"/>
          <w14:ligatures w14:val="none"/>
        </w:rPr>
        <w:t xml:space="preserve"> </w:t>
      </w:r>
    </w:p>
    <w:p w14:paraId="7AF9688A" w14:textId="7F1A42DF" w:rsidR="00514EEA" w:rsidRDefault="00514EEA" w:rsidP="0020045F">
      <w:pPr>
        <w:shd w:val="clear" w:color="auto" w:fill="FFFFFF"/>
        <w:spacing w:before="375" w:after="100" w:afterAutospacing="1" w:line="240" w:lineRule="auto"/>
        <w:outlineLvl w:val="2"/>
        <w:rPr>
          <w:rFonts w:eastAsia="Times New Roman" w:cstheme="minorHAnsi"/>
          <w:b/>
          <w:bCs/>
          <w:color w:val="4A8FA0"/>
          <w:kern w:val="0"/>
          <w:sz w:val="27"/>
          <w:szCs w:val="27"/>
          <w:lang w:eastAsia="en-IN"/>
          <w14:ligatures w14:val="none"/>
        </w:rPr>
      </w:pPr>
      <w:r>
        <w:rPr>
          <w:rFonts w:eastAsia="Times New Roman" w:cstheme="minorHAnsi"/>
          <w:b/>
          <w:bCs/>
          <w:noProof/>
          <w:color w:val="4A8FA0"/>
          <w:kern w:val="0"/>
          <w:sz w:val="27"/>
          <w:szCs w:val="27"/>
          <w:lang w:eastAsia="en-IN"/>
        </w:rPr>
        <w:drawing>
          <wp:inline distT="0" distB="0" distL="0" distR="0" wp14:anchorId="2D8465E4" wp14:editId="29716C2E">
            <wp:extent cx="4117578" cy="2108200"/>
            <wp:effectExtent l="0" t="0" r="0" b="6350"/>
            <wp:docPr id="1756911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11080" name="Picture 1756911080"/>
                    <pic:cNvPicPr/>
                  </pic:nvPicPr>
                  <pic:blipFill>
                    <a:blip r:embed="rId8">
                      <a:extLst>
                        <a:ext uri="{28A0092B-C50C-407E-A947-70E740481C1C}">
                          <a14:useLocalDpi xmlns:a14="http://schemas.microsoft.com/office/drawing/2010/main" val="0"/>
                        </a:ext>
                      </a:extLst>
                    </a:blip>
                    <a:stretch>
                      <a:fillRect/>
                    </a:stretch>
                  </pic:blipFill>
                  <pic:spPr>
                    <a:xfrm>
                      <a:off x="0" y="0"/>
                      <a:ext cx="4125211" cy="2112108"/>
                    </a:xfrm>
                    <a:prstGeom prst="rect">
                      <a:avLst/>
                    </a:prstGeom>
                  </pic:spPr>
                </pic:pic>
              </a:graphicData>
            </a:graphic>
          </wp:inline>
        </w:drawing>
      </w:r>
    </w:p>
    <w:p w14:paraId="3AA60AE4" w14:textId="77777777" w:rsidR="0020045F" w:rsidRPr="0020045F" w:rsidRDefault="0020045F" w:rsidP="0020045F">
      <w:pPr>
        <w:shd w:val="clear" w:color="auto" w:fill="E8F4F8"/>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2C5F6F"/>
          <w:kern w:val="0"/>
          <w:sz w:val="24"/>
          <w:szCs w:val="24"/>
          <w:lang w:eastAsia="en-IN"/>
          <w14:ligatures w14:val="none"/>
        </w:rPr>
        <w:lastRenderedPageBreak/>
        <w:t>Salary Growth Disparity:</w:t>
      </w:r>
      <w:r w:rsidRPr="0020045F">
        <w:rPr>
          <w:rFonts w:eastAsia="Times New Roman" w:cstheme="minorHAnsi"/>
          <w:color w:val="333333"/>
          <w:kern w:val="0"/>
          <w:sz w:val="24"/>
          <w:szCs w:val="24"/>
          <w:lang w:eastAsia="en-IN"/>
          <w14:ligatures w14:val="none"/>
        </w:rPr>
        <w:t> While all departments show positive salary growth, a concerning pattern emerges. Research &amp; Development leads with 15.29% average increases, followed closely by Sales at 15.10%. However, Human Resources significantly trails at 14.76%. This 0.53 percentage point gap, while seemingly small, compounds over time and may contribute to retention challenges in HR, particularly when HR professionals see their colleagues in other departments receiving more substantial increases.</w:t>
      </w:r>
    </w:p>
    <w:p w14:paraId="2E5703EC" w14:textId="77777777" w:rsidR="00426BAA" w:rsidRDefault="00426BAA"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6"/>
          <w:szCs w:val="36"/>
          <w:lang w:eastAsia="en-IN"/>
          <w14:ligatures w14:val="none"/>
        </w:rPr>
      </w:pPr>
    </w:p>
    <w:p w14:paraId="35F356F2" w14:textId="577E9640" w:rsidR="00426BAA" w:rsidRPr="00426BAA" w:rsidRDefault="0020045F"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r w:rsidRPr="0020045F">
        <w:rPr>
          <w:rFonts w:eastAsia="Times New Roman" w:cstheme="minorHAnsi"/>
          <w:b/>
          <w:bCs/>
          <w:color w:val="2C5F6F"/>
          <w:kern w:val="0"/>
          <w:sz w:val="32"/>
          <w:szCs w:val="32"/>
          <w:lang w:eastAsia="en-IN"/>
          <w14:ligatures w14:val="none"/>
        </w:rPr>
        <w:t>Age Distribution and Workforce Composition</w:t>
      </w:r>
    </w:p>
    <w:p w14:paraId="43BD7535" w14:textId="599159EE" w:rsidR="0020045F" w:rsidRPr="0020045F" w:rsidRDefault="0020045F" w:rsidP="0020045F">
      <w:pPr>
        <w:shd w:val="clear" w:color="auto" w:fill="E8F4F8"/>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2C5F6F"/>
          <w:kern w:val="0"/>
          <w:sz w:val="24"/>
          <w:szCs w:val="24"/>
          <w:lang w:eastAsia="en-IN"/>
          <w14:ligatures w14:val="none"/>
        </w:rPr>
        <w:t>Multi-Generational Workforce:</w:t>
      </w:r>
      <w:r w:rsidRPr="0020045F">
        <w:rPr>
          <w:rFonts w:eastAsia="Times New Roman" w:cstheme="minorHAnsi"/>
          <w:color w:val="333333"/>
          <w:kern w:val="0"/>
          <w:sz w:val="24"/>
          <w:szCs w:val="24"/>
          <w:lang w:eastAsia="en-IN"/>
          <w14:ligatures w14:val="none"/>
        </w:rPr>
        <w:t xml:space="preserve"> The organization maintains a diverse age structure spanning five distinct generations, from young professionals (20 or below) to experienced veterans (50-60). With an average age of 37, the workforce </w:t>
      </w:r>
      <w:r w:rsidR="00514EEA" w:rsidRPr="00426BAA">
        <w:rPr>
          <w:rFonts w:eastAsia="Times New Roman" w:cstheme="minorHAnsi"/>
          <w:color w:val="333333"/>
          <w:kern w:val="0"/>
          <w:sz w:val="24"/>
          <w:szCs w:val="24"/>
          <w:lang w:eastAsia="en-IN"/>
          <w14:ligatures w14:val="none"/>
        </w:rPr>
        <w:t>canters</w:t>
      </w:r>
      <w:r w:rsidRPr="0020045F">
        <w:rPr>
          <w:rFonts w:eastAsia="Times New Roman" w:cstheme="minorHAnsi"/>
          <w:color w:val="333333"/>
          <w:kern w:val="0"/>
          <w:sz w:val="24"/>
          <w:szCs w:val="24"/>
          <w:lang w:eastAsia="en-IN"/>
          <w14:ligatures w14:val="none"/>
        </w:rPr>
        <w:t xml:space="preserve"> in the 30-40 age bracket, representing employees in their prime productive years. This distribution suggests a healthy balance of innovation from younger employees and institutional knowledge from senior staff.</w:t>
      </w:r>
    </w:p>
    <w:p w14:paraId="43EB0AA7" w14:textId="77777777" w:rsidR="00426BAA" w:rsidRDefault="00426BAA"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6"/>
          <w:szCs w:val="36"/>
          <w:lang w:eastAsia="en-IN"/>
          <w14:ligatures w14:val="none"/>
        </w:rPr>
      </w:pPr>
    </w:p>
    <w:p w14:paraId="56464114" w14:textId="7BE96595" w:rsidR="0020045F" w:rsidRPr="0020045F" w:rsidRDefault="0020045F"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r w:rsidRPr="0020045F">
        <w:rPr>
          <w:rFonts w:eastAsia="Times New Roman" w:cstheme="minorHAnsi"/>
          <w:b/>
          <w:bCs/>
          <w:color w:val="2C5F6F"/>
          <w:kern w:val="0"/>
          <w:sz w:val="32"/>
          <w:szCs w:val="32"/>
          <w:lang w:eastAsia="en-IN"/>
          <w14:ligatures w14:val="none"/>
        </w:rPr>
        <w:t>Strategic Recommendations</w:t>
      </w:r>
    </w:p>
    <w:p w14:paraId="59F2B98A" w14:textId="77777777" w:rsidR="00426BAA" w:rsidRDefault="0020045F" w:rsidP="00426BAA">
      <w:pPr>
        <w:shd w:val="clear" w:color="auto" w:fill="FFF3CD"/>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856404"/>
          <w:kern w:val="0"/>
          <w:sz w:val="24"/>
          <w:szCs w:val="24"/>
          <w:lang w:eastAsia="en-IN"/>
          <w14:ligatures w14:val="none"/>
        </w:rPr>
        <w:t>1. Targeted Retention Programs</w:t>
      </w:r>
    </w:p>
    <w:p w14:paraId="64AD35CA" w14:textId="3F4F22B1" w:rsidR="0020045F" w:rsidRPr="0020045F" w:rsidRDefault="0020045F" w:rsidP="00426BAA">
      <w:pPr>
        <w:shd w:val="clear" w:color="auto" w:fill="FFF3CD"/>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Implement specialized retention initiatives focusing on male employees and those with Life Sciences and Medical backgrounds. Consider developing career advancement pathways, mentorship programs, and competitive compensation packages specifically designed for high-demand STEM roles to address the disproportionate attrition in these critical areas.</w:t>
      </w:r>
    </w:p>
    <w:p w14:paraId="63F56A43" w14:textId="77777777" w:rsidR="0020045F" w:rsidRPr="0020045F" w:rsidRDefault="0020045F" w:rsidP="0020045F">
      <w:pPr>
        <w:shd w:val="clear" w:color="auto" w:fill="FFF3CD"/>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856404"/>
          <w:kern w:val="0"/>
          <w:sz w:val="24"/>
          <w:szCs w:val="24"/>
          <w:lang w:eastAsia="en-IN"/>
          <w14:ligatures w14:val="none"/>
        </w:rPr>
        <w:t>2. Compensation Equity Review</w:t>
      </w:r>
    </w:p>
    <w:p w14:paraId="58FA6B0C" w14:textId="77777777" w:rsidR="0020045F" w:rsidRPr="0020045F" w:rsidRDefault="0020045F" w:rsidP="0020045F">
      <w:pPr>
        <w:shd w:val="clear" w:color="auto" w:fill="FFF3CD"/>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Conduct a comprehensive salary audit to address disparities between departments, particularly the lower salary increases in Human Resources. Establish transparent compensation frameworks that ensure equitable growth opportunities across all functions, preventing talent loss due to perceived inequity.</w:t>
      </w:r>
    </w:p>
    <w:p w14:paraId="19E99BFB" w14:textId="77777777" w:rsidR="0020045F" w:rsidRPr="0020045F" w:rsidRDefault="0020045F" w:rsidP="0020045F">
      <w:pPr>
        <w:shd w:val="clear" w:color="auto" w:fill="FFF3CD"/>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856404"/>
          <w:kern w:val="0"/>
          <w:sz w:val="24"/>
          <w:szCs w:val="24"/>
          <w:lang w:eastAsia="en-IN"/>
          <w14:ligatures w14:val="none"/>
        </w:rPr>
        <w:t>3. Employee Engagement Enhancement</w:t>
      </w:r>
    </w:p>
    <w:p w14:paraId="32119FE3" w14:textId="77777777" w:rsidR="0020045F" w:rsidRPr="0020045F" w:rsidRDefault="0020045F" w:rsidP="0020045F">
      <w:pPr>
        <w:shd w:val="clear" w:color="auto" w:fill="FFF3CD"/>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With an average satisfaction rating of 3.15 out of 5, there is substantial room for improvement. Launch engagement surveys to identify specific pain points, implement recognition programs, improve communication channels, and create opportunities for professional development and career growth.</w:t>
      </w:r>
    </w:p>
    <w:p w14:paraId="692F87AD" w14:textId="77777777" w:rsidR="0020045F" w:rsidRPr="0020045F" w:rsidRDefault="0020045F" w:rsidP="0020045F">
      <w:pPr>
        <w:shd w:val="clear" w:color="auto" w:fill="FFF3CD"/>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856404"/>
          <w:kern w:val="0"/>
          <w:sz w:val="24"/>
          <w:szCs w:val="24"/>
          <w:lang w:eastAsia="en-IN"/>
          <w14:ligatures w14:val="none"/>
        </w:rPr>
        <w:t>4. Gender-Specific Retention Analysis</w:t>
      </w:r>
    </w:p>
    <w:p w14:paraId="5F74EB3C" w14:textId="77777777" w:rsidR="0020045F" w:rsidRPr="0020045F" w:rsidRDefault="0020045F" w:rsidP="0020045F">
      <w:pPr>
        <w:shd w:val="clear" w:color="auto" w:fill="FFF3CD"/>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 xml:space="preserve">Investigate the root causes of higher male attrition through focus groups and exit interviews. Assess whether factors such as career advancement opportunities, work culture, </w:t>
      </w:r>
      <w:r w:rsidRPr="0020045F">
        <w:rPr>
          <w:rFonts w:eastAsia="Times New Roman" w:cstheme="minorHAnsi"/>
          <w:color w:val="333333"/>
          <w:kern w:val="0"/>
          <w:sz w:val="24"/>
          <w:szCs w:val="24"/>
          <w:lang w:eastAsia="en-IN"/>
          <w14:ligatures w14:val="none"/>
        </w:rPr>
        <w:lastRenderedPageBreak/>
        <w:t>compensation equity, or work-life balance policies differ by gender and develop targeted interventions accordingly.</w:t>
      </w:r>
    </w:p>
    <w:p w14:paraId="23715283" w14:textId="77777777" w:rsidR="0020045F" w:rsidRPr="0020045F" w:rsidRDefault="0020045F" w:rsidP="0020045F">
      <w:pPr>
        <w:shd w:val="clear" w:color="auto" w:fill="FFF3CD"/>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856404"/>
          <w:kern w:val="0"/>
          <w:sz w:val="24"/>
          <w:szCs w:val="24"/>
          <w:lang w:eastAsia="en-IN"/>
          <w14:ligatures w14:val="none"/>
        </w:rPr>
        <w:t>5. Specialized Talent Development</w:t>
      </w:r>
    </w:p>
    <w:p w14:paraId="4D772CC7" w14:textId="77777777" w:rsidR="0020045F" w:rsidRPr="0020045F" w:rsidRDefault="0020045F" w:rsidP="0020045F">
      <w:pPr>
        <w:shd w:val="clear" w:color="auto" w:fill="FFF3CD"/>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Create dedicated career pathways and development programs for Life Sciences and Medical professionals. Partner with educational institutions, offer continuing education opportunities, and establish clear promotion criteria to demonstrate the organization's commitment to these specialized fields.</w:t>
      </w:r>
    </w:p>
    <w:p w14:paraId="6FFDA92E" w14:textId="77777777" w:rsidR="0020045F" w:rsidRPr="0020045F" w:rsidRDefault="0020045F" w:rsidP="0020045F">
      <w:pPr>
        <w:shd w:val="clear" w:color="auto" w:fill="FFF3CD"/>
        <w:spacing w:after="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856404"/>
          <w:kern w:val="0"/>
          <w:sz w:val="24"/>
          <w:szCs w:val="24"/>
          <w:lang w:eastAsia="en-IN"/>
          <w14:ligatures w14:val="none"/>
        </w:rPr>
        <w:t>6. Cross-Departmental Equity</w:t>
      </w:r>
    </w:p>
    <w:p w14:paraId="71503036" w14:textId="77777777" w:rsidR="0020045F" w:rsidRPr="0020045F" w:rsidRDefault="0020045F" w:rsidP="0020045F">
      <w:pPr>
        <w:shd w:val="clear" w:color="auto" w:fill="FFF3CD"/>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Address the salary hike disparity by implementing consistent performance-based increase frameworks across all departments. Ensure that support functions like HR receive competitive raises that reflect their strategic value to the organization.</w:t>
      </w:r>
    </w:p>
    <w:p w14:paraId="2C56740A" w14:textId="77777777" w:rsidR="0020045F" w:rsidRPr="0020045F" w:rsidRDefault="0020045F" w:rsidP="0020045F">
      <w:pPr>
        <w:pBdr>
          <w:bottom w:val="single" w:sz="18" w:space="8" w:color="2C5F6F"/>
        </w:pBdr>
        <w:shd w:val="clear" w:color="auto" w:fill="FFFFFF"/>
        <w:spacing w:after="100" w:afterAutospacing="1" w:line="240" w:lineRule="auto"/>
        <w:outlineLvl w:val="1"/>
        <w:rPr>
          <w:rFonts w:eastAsia="Times New Roman" w:cstheme="minorHAnsi"/>
          <w:b/>
          <w:bCs/>
          <w:color w:val="2C5F6F"/>
          <w:kern w:val="0"/>
          <w:sz w:val="32"/>
          <w:szCs w:val="32"/>
          <w:lang w:eastAsia="en-IN"/>
          <w14:ligatures w14:val="none"/>
        </w:rPr>
      </w:pPr>
      <w:r w:rsidRPr="0020045F">
        <w:rPr>
          <w:rFonts w:eastAsia="Times New Roman" w:cstheme="minorHAnsi"/>
          <w:b/>
          <w:bCs/>
          <w:color w:val="2C5F6F"/>
          <w:kern w:val="0"/>
          <w:sz w:val="32"/>
          <w:szCs w:val="32"/>
          <w:lang w:eastAsia="en-IN"/>
          <w14:ligatures w14:val="none"/>
        </w:rPr>
        <w:t>Conclusion</w:t>
      </w:r>
    </w:p>
    <w:p w14:paraId="0BAE772E" w14:textId="77777777" w:rsidR="0020045F" w:rsidRPr="0020045F" w:rsidRDefault="0020045F" w:rsidP="0020045F">
      <w:pPr>
        <w:shd w:val="clear" w:color="auto" w:fill="FFFFFF"/>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The HR Data Analysis Dashboard reveals an organization with a substantial workforce of 1,470 employees and competitive compensation for senior leadership roles. However, several critical challenges require immediate attention:</w:t>
      </w:r>
    </w:p>
    <w:p w14:paraId="3F1EE77E" w14:textId="77777777" w:rsidR="0020045F" w:rsidRPr="0020045F" w:rsidRDefault="0020045F" w:rsidP="0020045F">
      <w:pPr>
        <w:numPr>
          <w:ilvl w:val="0"/>
          <w:numId w:val="4"/>
        </w:numPr>
        <w:shd w:val="clear" w:color="auto" w:fill="FFFFFF"/>
        <w:spacing w:before="100" w:beforeAutospacing="1" w:after="15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333333"/>
          <w:kern w:val="0"/>
          <w:sz w:val="24"/>
          <w:szCs w:val="24"/>
          <w:lang w:eastAsia="en-IN"/>
          <w14:ligatures w14:val="none"/>
        </w:rPr>
        <w:t>Significant Attrition:</w:t>
      </w:r>
      <w:r w:rsidRPr="0020045F">
        <w:rPr>
          <w:rFonts w:eastAsia="Times New Roman" w:cstheme="minorHAnsi"/>
          <w:color w:val="333333"/>
          <w:kern w:val="0"/>
          <w:sz w:val="24"/>
          <w:szCs w:val="24"/>
          <w:lang w:eastAsia="en-IN"/>
          <w14:ligatures w14:val="none"/>
        </w:rPr>
        <w:t> 237 departures represent a meaningful loss of talent and institutional knowledge</w:t>
      </w:r>
    </w:p>
    <w:p w14:paraId="1FA3A710" w14:textId="77777777" w:rsidR="0020045F" w:rsidRPr="0020045F" w:rsidRDefault="0020045F" w:rsidP="0020045F">
      <w:pPr>
        <w:numPr>
          <w:ilvl w:val="0"/>
          <w:numId w:val="4"/>
        </w:numPr>
        <w:shd w:val="clear" w:color="auto" w:fill="FFFFFF"/>
        <w:spacing w:before="100" w:beforeAutospacing="1" w:after="15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333333"/>
          <w:kern w:val="0"/>
          <w:sz w:val="24"/>
          <w:szCs w:val="24"/>
          <w:lang w:eastAsia="en-IN"/>
          <w14:ligatures w14:val="none"/>
        </w:rPr>
        <w:t>STEM Retention Crisis:</w:t>
      </w:r>
      <w:r w:rsidRPr="0020045F">
        <w:rPr>
          <w:rFonts w:eastAsia="Times New Roman" w:cstheme="minorHAnsi"/>
          <w:color w:val="333333"/>
          <w:kern w:val="0"/>
          <w:sz w:val="24"/>
          <w:szCs w:val="24"/>
          <w:lang w:eastAsia="en-IN"/>
          <w14:ligatures w14:val="none"/>
        </w:rPr>
        <w:t> Concentrated attrition in Life Sciences and Medical fields threatens specialized capabilities</w:t>
      </w:r>
    </w:p>
    <w:p w14:paraId="644CE5EE" w14:textId="77777777" w:rsidR="0020045F" w:rsidRPr="0020045F" w:rsidRDefault="0020045F" w:rsidP="0020045F">
      <w:pPr>
        <w:numPr>
          <w:ilvl w:val="0"/>
          <w:numId w:val="4"/>
        </w:numPr>
        <w:shd w:val="clear" w:color="auto" w:fill="FFFFFF"/>
        <w:spacing w:before="100" w:beforeAutospacing="1" w:after="15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333333"/>
          <w:kern w:val="0"/>
          <w:sz w:val="24"/>
          <w:szCs w:val="24"/>
          <w:lang w:eastAsia="en-IN"/>
          <w14:ligatures w14:val="none"/>
        </w:rPr>
        <w:t>Moderate Engagement:</w:t>
      </w:r>
      <w:r w:rsidRPr="0020045F">
        <w:rPr>
          <w:rFonts w:eastAsia="Times New Roman" w:cstheme="minorHAnsi"/>
          <w:color w:val="333333"/>
          <w:kern w:val="0"/>
          <w:sz w:val="24"/>
          <w:szCs w:val="24"/>
          <w:lang w:eastAsia="en-IN"/>
          <w14:ligatures w14:val="none"/>
        </w:rPr>
        <w:t> A 3.15 rating indicates employees are neither highly satisfied nor actively disengaged, presenting both risk and opportunity</w:t>
      </w:r>
    </w:p>
    <w:p w14:paraId="751DC27C" w14:textId="77777777" w:rsidR="0020045F" w:rsidRPr="0020045F" w:rsidRDefault="0020045F" w:rsidP="0020045F">
      <w:pPr>
        <w:numPr>
          <w:ilvl w:val="0"/>
          <w:numId w:val="4"/>
        </w:numPr>
        <w:shd w:val="clear" w:color="auto" w:fill="FFFFFF"/>
        <w:spacing w:before="100" w:beforeAutospacing="1" w:after="15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333333"/>
          <w:kern w:val="0"/>
          <w:sz w:val="24"/>
          <w:szCs w:val="24"/>
          <w:lang w:eastAsia="en-IN"/>
          <w14:ligatures w14:val="none"/>
        </w:rPr>
        <w:t>Compensation Inequities:</w:t>
      </w:r>
      <w:r w:rsidRPr="0020045F">
        <w:rPr>
          <w:rFonts w:eastAsia="Times New Roman" w:cstheme="minorHAnsi"/>
          <w:color w:val="333333"/>
          <w:kern w:val="0"/>
          <w:sz w:val="24"/>
          <w:szCs w:val="24"/>
          <w:lang w:eastAsia="en-IN"/>
          <w14:ligatures w14:val="none"/>
        </w:rPr>
        <w:t> Departmental disparities in salary increases may fuel retention challenges</w:t>
      </w:r>
    </w:p>
    <w:p w14:paraId="11BB05E3" w14:textId="77777777" w:rsidR="0020045F" w:rsidRPr="0020045F" w:rsidRDefault="0020045F" w:rsidP="0020045F">
      <w:pPr>
        <w:numPr>
          <w:ilvl w:val="0"/>
          <w:numId w:val="4"/>
        </w:numPr>
        <w:shd w:val="clear" w:color="auto" w:fill="FFFFFF"/>
        <w:spacing w:before="100" w:beforeAutospacing="1" w:after="150" w:line="240" w:lineRule="auto"/>
        <w:rPr>
          <w:rFonts w:eastAsia="Times New Roman" w:cstheme="minorHAnsi"/>
          <w:color w:val="333333"/>
          <w:kern w:val="0"/>
          <w:sz w:val="24"/>
          <w:szCs w:val="24"/>
          <w:lang w:eastAsia="en-IN"/>
          <w14:ligatures w14:val="none"/>
        </w:rPr>
      </w:pPr>
      <w:r w:rsidRPr="0020045F">
        <w:rPr>
          <w:rFonts w:eastAsia="Times New Roman" w:cstheme="minorHAnsi"/>
          <w:b/>
          <w:bCs/>
          <w:color w:val="333333"/>
          <w:kern w:val="0"/>
          <w:sz w:val="24"/>
          <w:szCs w:val="24"/>
          <w:lang w:eastAsia="en-IN"/>
          <w14:ligatures w14:val="none"/>
        </w:rPr>
        <w:t>Gender-Based Patterns:</w:t>
      </w:r>
      <w:r w:rsidRPr="0020045F">
        <w:rPr>
          <w:rFonts w:eastAsia="Times New Roman" w:cstheme="minorHAnsi"/>
          <w:color w:val="333333"/>
          <w:kern w:val="0"/>
          <w:sz w:val="24"/>
          <w:szCs w:val="24"/>
          <w:lang w:eastAsia="en-IN"/>
          <w14:ligatures w14:val="none"/>
        </w:rPr>
        <w:t> The 60-40 male-female attrition split warrants investigation</w:t>
      </w:r>
    </w:p>
    <w:p w14:paraId="4EDD8C3D" w14:textId="77777777" w:rsidR="0020045F" w:rsidRPr="0020045F" w:rsidRDefault="0020045F" w:rsidP="0020045F">
      <w:pPr>
        <w:shd w:val="clear" w:color="auto" w:fill="FFFFFF"/>
        <w:spacing w:before="100" w:beforeAutospacing="1" w:after="100" w:afterAutospacing="1" w:line="240" w:lineRule="auto"/>
        <w:rPr>
          <w:rFonts w:eastAsia="Times New Roman" w:cstheme="minorHAnsi"/>
          <w:color w:val="333333"/>
          <w:kern w:val="0"/>
          <w:sz w:val="24"/>
          <w:szCs w:val="24"/>
          <w:lang w:eastAsia="en-IN"/>
          <w14:ligatures w14:val="none"/>
        </w:rPr>
      </w:pPr>
      <w:r w:rsidRPr="0020045F">
        <w:rPr>
          <w:rFonts w:eastAsia="Times New Roman" w:cstheme="minorHAnsi"/>
          <w:color w:val="333333"/>
          <w:kern w:val="0"/>
          <w:sz w:val="24"/>
          <w:szCs w:val="24"/>
          <w:lang w:eastAsia="en-IN"/>
          <w14:ligatures w14:val="none"/>
        </w:rPr>
        <w:t>By implementing the recommended strategic initiatives focusing on targeted retention, compensation equity, enhanced engagement, and specialized talent development, the organization can transform these challenges into opportunities for building a more stable, satisfied, and high-performing workforce.</w:t>
      </w:r>
    </w:p>
    <w:p w14:paraId="41426AB8" w14:textId="77777777" w:rsidR="00C176B9" w:rsidRPr="0020045F" w:rsidRDefault="00C176B9">
      <w:pPr>
        <w:rPr>
          <w:rFonts w:cstheme="minorHAnsi"/>
        </w:rPr>
      </w:pPr>
    </w:p>
    <w:sectPr w:rsidR="00C176B9" w:rsidRPr="00200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1AD"/>
    <w:multiLevelType w:val="multilevel"/>
    <w:tmpl w:val="FBA2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13773"/>
    <w:multiLevelType w:val="multilevel"/>
    <w:tmpl w:val="0010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51FD6"/>
    <w:multiLevelType w:val="multilevel"/>
    <w:tmpl w:val="0132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1080E"/>
    <w:multiLevelType w:val="multilevel"/>
    <w:tmpl w:val="821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641496">
    <w:abstractNumId w:val="0"/>
  </w:num>
  <w:num w:numId="2" w16cid:durableId="72897756">
    <w:abstractNumId w:val="2"/>
  </w:num>
  <w:num w:numId="3" w16cid:durableId="1854223560">
    <w:abstractNumId w:val="3"/>
  </w:num>
  <w:num w:numId="4" w16cid:durableId="1839810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5F"/>
    <w:rsid w:val="001054C0"/>
    <w:rsid w:val="0020045F"/>
    <w:rsid w:val="00285D43"/>
    <w:rsid w:val="003515C9"/>
    <w:rsid w:val="00426BAA"/>
    <w:rsid w:val="00514EEA"/>
    <w:rsid w:val="00A556B2"/>
    <w:rsid w:val="00C17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B13D"/>
  <w15:chartTrackingRefBased/>
  <w15:docId w15:val="{F5CAF330-E63D-4FC7-BE65-2F81A0A3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BAA"/>
  </w:style>
  <w:style w:type="paragraph" w:styleId="Heading1">
    <w:name w:val="heading 1"/>
    <w:basedOn w:val="Normal"/>
    <w:next w:val="Normal"/>
    <w:link w:val="Heading1Char"/>
    <w:uiPriority w:val="9"/>
    <w:qFormat/>
    <w:rsid w:val="00200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4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4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4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4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4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4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45F"/>
    <w:rPr>
      <w:rFonts w:eastAsiaTheme="majorEastAsia" w:cstheme="majorBidi"/>
      <w:color w:val="272727" w:themeColor="text1" w:themeTint="D8"/>
    </w:rPr>
  </w:style>
  <w:style w:type="paragraph" w:styleId="Title">
    <w:name w:val="Title"/>
    <w:basedOn w:val="Normal"/>
    <w:next w:val="Normal"/>
    <w:link w:val="TitleChar"/>
    <w:uiPriority w:val="10"/>
    <w:qFormat/>
    <w:rsid w:val="00200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45F"/>
    <w:pPr>
      <w:spacing w:before="160"/>
      <w:jc w:val="center"/>
    </w:pPr>
    <w:rPr>
      <w:i/>
      <w:iCs/>
      <w:color w:val="404040" w:themeColor="text1" w:themeTint="BF"/>
    </w:rPr>
  </w:style>
  <w:style w:type="character" w:customStyle="1" w:styleId="QuoteChar">
    <w:name w:val="Quote Char"/>
    <w:basedOn w:val="DefaultParagraphFont"/>
    <w:link w:val="Quote"/>
    <w:uiPriority w:val="29"/>
    <w:rsid w:val="0020045F"/>
    <w:rPr>
      <w:i/>
      <w:iCs/>
      <w:color w:val="404040" w:themeColor="text1" w:themeTint="BF"/>
    </w:rPr>
  </w:style>
  <w:style w:type="paragraph" w:styleId="ListParagraph">
    <w:name w:val="List Paragraph"/>
    <w:basedOn w:val="Normal"/>
    <w:uiPriority w:val="34"/>
    <w:qFormat/>
    <w:rsid w:val="0020045F"/>
    <w:pPr>
      <w:ind w:left="720"/>
      <w:contextualSpacing/>
    </w:pPr>
  </w:style>
  <w:style w:type="character" w:styleId="IntenseEmphasis">
    <w:name w:val="Intense Emphasis"/>
    <w:basedOn w:val="DefaultParagraphFont"/>
    <w:uiPriority w:val="21"/>
    <w:qFormat/>
    <w:rsid w:val="0020045F"/>
    <w:rPr>
      <w:i/>
      <w:iCs/>
      <w:color w:val="2F5496" w:themeColor="accent1" w:themeShade="BF"/>
    </w:rPr>
  </w:style>
  <w:style w:type="paragraph" w:styleId="IntenseQuote">
    <w:name w:val="Intense Quote"/>
    <w:basedOn w:val="Normal"/>
    <w:next w:val="Normal"/>
    <w:link w:val="IntenseQuoteChar"/>
    <w:uiPriority w:val="30"/>
    <w:qFormat/>
    <w:rsid w:val="00200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45F"/>
    <w:rPr>
      <w:i/>
      <w:iCs/>
      <w:color w:val="2F5496" w:themeColor="accent1" w:themeShade="BF"/>
    </w:rPr>
  </w:style>
  <w:style w:type="character" w:styleId="IntenseReference">
    <w:name w:val="Intense Reference"/>
    <w:basedOn w:val="DefaultParagraphFont"/>
    <w:uiPriority w:val="32"/>
    <w:qFormat/>
    <w:rsid w:val="002004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reddy Muthyam</dc:creator>
  <cp:keywords/>
  <dc:description/>
  <cp:lastModifiedBy>kalpana reddy Muthyam</cp:lastModifiedBy>
  <cp:revision>1</cp:revision>
  <dcterms:created xsi:type="dcterms:W3CDTF">2025-10-27T07:49:00Z</dcterms:created>
  <dcterms:modified xsi:type="dcterms:W3CDTF">2025-10-27T08:36:00Z</dcterms:modified>
</cp:coreProperties>
</file>