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04BB" w14:textId="77777777" w:rsidR="002058B7" w:rsidRDefault="00000000">
      <w:pPr>
        <w:pStyle w:val="Title"/>
        <w:jc w:val="center"/>
      </w:pPr>
      <w:r>
        <w:rPr>
          <w:b/>
        </w:rPr>
        <w:t>Machine Learning Project</w:t>
      </w:r>
    </w:p>
    <w:p w14:paraId="54DB4D54" w14:textId="77777777" w:rsidR="002058B7" w:rsidRDefault="00000000">
      <w:pPr>
        <w:pStyle w:val="Subtitle"/>
        <w:jc w:val="center"/>
      </w:pPr>
      <w:r>
        <w:t>Proposal Update</w:t>
      </w:r>
    </w:p>
    <w:p w14:paraId="7C326FB8" w14:textId="77777777" w:rsidR="002058B7" w:rsidRDefault="00000000">
      <w:pPr>
        <w:jc w:val="center"/>
      </w:pPr>
      <w:r>
        <w:rPr>
          <w:i/>
        </w:rPr>
        <w:t>DTSC 691: Applied Data Science</w:t>
      </w:r>
    </w:p>
    <w:p w14:paraId="35F4EEBD" w14:textId="77777777" w:rsidR="002058B7" w:rsidRDefault="00000000">
      <w:pPr>
        <w:jc w:val="center"/>
      </w:pPr>
      <w:r>
        <w:t>Name: Jesse Mutiga</w:t>
      </w:r>
    </w:p>
    <w:p w14:paraId="10779D1C" w14:textId="77777777" w:rsidR="002058B7" w:rsidRDefault="00000000">
      <w:pPr>
        <w:jc w:val="center"/>
      </w:pPr>
      <w:r>
        <w:rPr>
          <w:b/>
        </w:rPr>
        <w:t>Project Title: Predicting Financial Access Profiles in Kenya Using FinAccess 2024</w:t>
      </w:r>
    </w:p>
    <w:p w14:paraId="57D2E37B" w14:textId="77777777" w:rsidR="002058B7" w:rsidRDefault="002058B7"/>
    <w:p w14:paraId="506DDB3F" w14:textId="77777777" w:rsidR="002058B7" w:rsidRDefault="00000000">
      <w:pPr>
        <w:pStyle w:val="Heading1"/>
      </w:pPr>
      <w:r>
        <w:t>Project Objective and Scope</w:t>
      </w:r>
    </w:p>
    <w:p w14:paraId="2180D981" w14:textId="77777777" w:rsidR="002058B7" w:rsidRDefault="00000000">
      <w:r>
        <w:t>This project builds an end-to-end machine learning system that predicts an adult respondent's current financial access profile in Kenya using the FinAccess 2024 survey. The target is constructed directly from C1_10 (current mobile money use) and C1_12 (current bank use) after removing responses coded as unknown. Respondents who are not currently using either service are labeled Excluded, respondents currently using mobile money but not bank services are labeled Mobile money only, and respondents currently using bank services are labeled Banked, whether or not they also use mobile money. This target therefore represents current access status, not past-year behavior, lifetime use, or future financial outcomes.</w:t>
      </w:r>
    </w:p>
    <w:p w14:paraId="6724E6A1" w14:textId="77777777" w:rsidR="002058B7" w:rsidRDefault="00000000">
      <w:r>
        <w:t>The main goal is to understand which background, household, and digital access factors are associated with each profile and to use those factors in a practical prediction tool. The project focuses on prediction and interpretation rather than causation, and it does not attempt tasks such as fraud detection, loan default prediction, or personal financial risk scoring because the dataset is not designed for those problems.</w:t>
      </w:r>
    </w:p>
    <w:p w14:paraId="0DB0943F" w14:textId="77777777" w:rsidR="002058B7" w:rsidRDefault="00000000">
      <w:r>
        <w:t>Machine learning is appropriate for this problem because the FinAccess dataset is high dimensional and the relationships between financial access, demographics, location, and digital behavior are likely to be non-linear. A manual rules-based system would be too rigid and difficult to maintain, while machine learning can learn these patterns from the data in a more realistic and scalable way.</w:t>
      </w:r>
    </w:p>
    <w:p w14:paraId="4A33DBA0" w14:textId="77777777" w:rsidR="002058B7" w:rsidRDefault="00000000">
      <w:r>
        <w:t>This project meets master's level expectations because it uses a real national dataset, addresses a meaningful Kenya-based problem, includes data preparation, model comparison, interpretation, and deployment through an interactive web app.</w:t>
      </w:r>
    </w:p>
    <w:p w14:paraId="427D5F71" w14:textId="77777777" w:rsidR="002058B7" w:rsidRDefault="00000000">
      <w:pPr>
        <w:pStyle w:val="Heading1"/>
      </w:pPr>
      <w:r>
        <w:lastRenderedPageBreak/>
        <w:t>Data Strategy</w:t>
      </w:r>
    </w:p>
    <w:p w14:paraId="5EC3557B" w14:textId="77777777" w:rsidR="002058B7" w:rsidRDefault="00000000">
      <w:r>
        <w:t>The dataset for this project is the FinAccess 2024 public survey for Kenya. The materials available include the weighted public Stata file, the questionnaire, the survey manual, and the main report. The full public dataset contains 20,871 survey responses and 3,816 fields, covers all 47 counties, and includes information about banking, mobile money, savings, credit, financial health, digital access, demographics, and physical access to services. For descriptive summaries, the workflow uses the survey weight variable (indWeight) so the EDA reflects the survey design more accurately.</w:t>
      </w:r>
    </w:p>
    <w:p w14:paraId="06B32AF3" w14:textId="77777777" w:rsidR="002058B7" w:rsidRDefault="00000000">
      <w:r>
        <w:t>To manage high dimensionality, the implemented model does not carry the full 3,816-field matrix into modeling. It uses a documentation-guided shortlist of 11 interpretable predictors: county, sex, age, household size, education, marital status, number of children in the household, livelihood, internet access, internet frequency, and financial health. Candidate fields with high missingness, low practical relevance, unclear questionnaire meaning, or weak predictive value are screened out before the final modeling step. Large multiselect survey batteries are not carried into the final model as hundreds of indicators.</w:t>
      </w:r>
    </w:p>
    <w:p w14:paraId="228368E5" w14:textId="77777777" w:rsidR="002058B7" w:rsidRDefault="00000000">
      <w:r>
        <w:t>Leakage is handled explicitly. Variables that directly reveal current financial access status are excluded from the predictor set. This includes the target-defining columns C1_10 and C1_12 and other current-use fields such as current primary financial provider or current account-use indicators that would restate the class label.</w:t>
      </w:r>
    </w:p>
    <w:p w14:paraId="265BF102" w14:textId="77777777" w:rsidR="002058B7" w:rsidRDefault="00000000">
      <w:r>
        <w:t>Missing-data handling is explicit rather than generic. Known nonresponse codes such as 98 and 99 are converted to missing values before preprocessing. Numeric features use median imputation and categorical features use most-frequent imputation in the shared preprocessing pipeline. The current code also includes a numeric review stage using summary statistics, IQR fences, histograms, and boxplots. Questionnaire-aligned hard bounds are used as a safety check: age 18-105, household size 1-20, and children in household 0-19. Values outside those hard bounds would be set to missing before modeling. In the current build, no adult rows fell outside those bounds.</w:t>
      </w:r>
    </w:p>
    <w:p w14:paraId="3039AF12" w14:textId="77777777" w:rsidR="002058B7" w:rsidRDefault="00000000">
      <w:pPr>
        <w:pStyle w:val="Heading1"/>
      </w:pPr>
      <w:r>
        <w:t>Methodology &amp; Analysis</w:t>
      </w:r>
    </w:p>
    <w:p w14:paraId="2FFE1B1C" w14:textId="77777777" w:rsidR="002058B7" w:rsidRDefault="00000000">
      <w:r>
        <w:rPr>
          <w:b/>
        </w:rPr>
        <w:t xml:space="preserve">The project follows a standard supervised machine learning workflow: </w:t>
      </w:r>
      <w:r>
        <w:t>exploratory data analysis, feature screening, preprocessing, model comparison, targeted tuning, evaluation, interpretation, and deployment. The main analysis is conducted on the adult (18+) sample so the prediction task matches real-world adult financial access more closely.</w:t>
      </w:r>
    </w:p>
    <w:p w14:paraId="4262C548" w14:textId="77777777" w:rsidR="002058B7" w:rsidRDefault="00000000">
      <w:pPr>
        <w:pStyle w:val="Heading2"/>
      </w:pPr>
      <w:r>
        <w:t>EDA</w:t>
      </w:r>
    </w:p>
    <w:p w14:paraId="62373944" w14:textId="77777777" w:rsidR="002058B7" w:rsidRDefault="00000000">
      <w:r>
        <w:t xml:space="preserve">The exploratory stage focuses on understanding both the target and the selected predictors before modeling. The current workflow produces weighted target-distribution bar charts, stacked bar charts by sex, education, internet access, and financial health, and a ranked county bar chart </w:t>
      </w:r>
      <w:r>
        <w:lastRenderedPageBreak/>
        <w:t>showing counties with the highest weighted exclusion share. For numeric variables, the workflow now also produces histograms, boxplots, and a simple correlation heatmap. Confusion-matrix and feature-importance visualizations are produced later in the workflow so the final results remain easy to interpret.</w:t>
      </w:r>
    </w:p>
    <w:p w14:paraId="7B9CC4EF" w14:textId="77777777" w:rsidR="002058B7" w:rsidRDefault="00000000">
      <w:r>
        <w:t>Outlier detection focuses on numeric variables such as age, household size, and number of children. The workflow inspects summary statistics, histograms, and boxplots, then compares suspicious values against questionnaire-aligned bounds. IQR fences are used as diagnostic flags, but only values outside the hard survey bounds would be set to missing. Valid extreme survey responses are retained because they may represent real households, and tree-based models are generally robust to moderate numeric extremes.</w:t>
      </w:r>
    </w:p>
    <w:p w14:paraId="483BFFDB" w14:textId="77777777" w:rsidR="002058B7" w:rsidRDefault="00000000">
      <w:pPr>
        <w:pStyle w:val="Heading2"/>
      </w:pPr>
      <w:r>
        <w:t>Data Preparation and Cleaning</w:t>
      </w:r>
    </w:p>
    <w:p w14:paraId="40D3584A" w14:textId="77777777" w:rsidR="002058B7" w:rsidRDefault="00000000">
      <w:r>
        <w:t>Because most selected predictors are categorical, the current implementation uses a consistent preprocessing pipeline. County, sex, education, marital status, livelihood, internet access, internet frequency, and financial health are treated as categorical predictors and one-hot encoded after basic cleaning. Numeric predictors such as age, household size, and number of children remain numeric and are median-imputed when needed. This avoids imposing unsupported ordinal distances across survey response categories.</w:t>
      </w:r>
    </w:p>
    <w:p w14:paraId="06EEDFA9" w14:textId="77777777" w:rsidR="002058B7" w:rsidRDefault="00000000">
      <w:r>
        <w:t>The preprocessing stage also documents which fields are removed to prevent leakage and keeps the final feature space compact enough for reproducible training and deployment. The current Streamlit asset builder saves the selected feature list, model summary, outlier review, correlation matrix, and updated model artifacts to the project artifacts folder.</w:t>
      </w:r>
    </w:p>
    <w:p w14:paraId="15070288" w14:textId="77777777" w:rsidR="002058B7" w:rsidRDefault="00000000">
      <w:pPr>
        <w:pStyle w:val="Heading2"/>
      </w:pPr>
      <w:r>
        <w:t>Model Training</w:t>
      </w:r>
    </w:p>
    <w:p w14:paraId="48F8CE5B" w14:textId="77777777" w:rsidR="002058B7" w:rsidRDefault="00000000">
      <w:r>
        <w:t>The modeling workflow begins with a transparent comparison rather than a single algorithm. The core comparison set includes multinomial logistic regression, class-weighted logistic regression, random forest, class-weighted random forest, and scikit-learn's GradientBoostingClassifier. This mix provides a clear baseline, a flexible tree ensemble, and class-weighted alternatives for the smaller Excluded class.</w:t>
      </w:r>
    </w:p>
    <w:p w14:paraId="0C1166AF" w14:textId="77777777" w:rsidR="002058B7" w:rsidRDefault="00000000">
      <w:r>
        <w:t>The workflow uses a stratified 80/20 train-test split and StratifiedKFold cross-validation so the three target classes remain represented throughout model comparison. After the baseline comparison, the current implementation adds a small RandomizedSearchCV step on the leading GradientBoostingClassifier candidate rather than running a large exhaustive grid search. This keeps model training efficient on a 20,000-row survey while still allowing targeted tuning.</w:t>
      </w:r>
    </w:p>
    <w:p w14:paraId="129CF116" w14:textId="77777777" w:rsidR="002058B7" w:rsidRDefault="00000000">
      <w:r>
        <w:t>Class imbalance is handled explicitly. The workflow compares class-weighted models to their standard versions and uses stratified splitting and cross-validation throughout. Ordinary SMOTE is not part of the default workflow because most predictors are categorical survey variables and synthetic rows can create unrealistic combinations.</w:t>
      </w:r>
    </w:p>
    <w:p w14:paraId="29D9A499" w14:textId="77777777" w:rsidR="002058B7" w:rsidRDefault="00000000">
      <w:r>
        <w:lastRenderedPageBreak/>
        <w:t>To keep training efficient, the project uses one shared preprocessing pipeline across models, a deliberately small feature set, and a limited set of candidate algorithms rather than many redundant variants. In the current code, the tuned Gradient Boosting model is the strongest overall option, with a test macro F1 of 0.5939 and a test balanced accuracy of 0.5658. Excluded-group recall improved from 0.2901 in the untuned Gradient Boosting baseline to 0.3069 after the targeted tuning pass.</w:t>
      </w:r>
    </w:p>
    <w:p w14:paraId="1D8C3FA0" w14:textId="77777777" w:rsidR="002058B7" w:rsidRDefault="00000000">
      <w:pPr>
        <w:pStyle w:val="Heading2"/>
      </w:pPr>
      <w:r>
        <w:t>Model Evaluation</w:t>
      </w:r>
    </w:p>
    <w:p w14:paraId="28719FE3" w14:textId="77777777" w:rsidR="002058B7" w:rsidRDefault="00000000">
      <w:r>
        <w:t>The main evaluation metric for this project is macro F1 score because the classes are imbalanced and performance on all three groups should matter. The workflow also reports accuracy, balanced accuracy, class-level recall, subgroup summaries, a confusion matrix, and recall for the Excluded class specifically because that group is policy-relevant and easy for a model to miss.</w:t>
      </w:r>
    </w:p>
    <w:p w14:paraId="2A0F9B3D" w14:textId="77777777" w:rsidR="002058B7" w:rsidRDefault="00000000">
      <w:r>
        <w:t>For interpretation, the current implementation uses permutation importance and supporting diagnostic plots. This keeps the explanation approach lightweight and reproducible in the current environment while still making the model's strongest signals clear in plain language. SHAP-style explanations remain optional future work, but permutation importance is the current reporting method in the codebase and app.</w:t>
      </w:r>
    </w:p>
    <w:p w14:paraId="33C3297C" w14:textId="77777777" w:rsidR="002058B7" w:rsidRDefault="00000000">
      <w:pPr>
        <w:pStyle w:val="Heading1"/>
      </w:pPr>
      <w:r>
        <w:t>User-Interface Integration</w:t>
      </w:r>
    </w:p>
    <w:p w14:paraId="611B47F8" w14:textId="77777777" w:rsidR="002058B7" w:rsidRDefault="00000000">
      <w:r>
        <w:t>The current application is built in Streamlit because it fits the Python machine learning workflow and supports a clear interactive interface. The app now includes the required course pages and a specific project page that explains the problem, approach, and findings for a non-technical audience while also providing the interface for model interaction.</w:t>
      </w:r>
    </w:p>
    <w:p w14:paraId="6EA4F1B2" w14:textId="77777777" w:rsidR="002058B7" w:rsidRDefault="00000000">
      <w:pPr>
        <w:pStyle w:val="ListBullet"/>
      </w:pPr>
      <w:r>
        <w:t>Biographical homepage with academic background, professional interests, and a brief personal introduction.</w:t>
      </w:r>
    </w:p>
    <w:p w14:paraId="48D93C7D" w14:textId="77777777" w:rsidR="002058B7" w:rsidRDefault="00000000">
      <w:pPr>
        <w:pStyle w:val="ListBullet"/>
      </w:pPr>
      <w:r>
        <w:t>Resume page covering education, project experience, technical skills, and a supporting visual.</w:t>
      </w:r>
    </w:p>
    <w:p w14:paraId="50F266F1" w14:textId="77777777" w:rsidR="002058B7" w:rsidRDefault="00000000">
      <w:pPr>
        <w:pStyle w:val="ListBullet"/>
      </w:pPr>
      <w:r>
        <w:t>General projects page highlighting the capstone deliverables and related materials.</w:t>
      </w:r>
    </w:p>
    <w:p w14:paraId="7E641C17" w14:textId="77777777" w:rsidR="002058B7" w:rsidRDefault="00000000">
      <w:pPr>
        <w:pStyle w:val="ListBullet"/>
      </w:pPr>
      <w:r>
        <w:t>Specific project page containing the deployed model, plain-language explanation of the problem, approach, and results, and the input form for predictions.</w:t>
      </w:r>
    </w:p>
    <w:p w14:paraId="619697D0" w14:textId="77777777" w:rsidR="002058B7" w:rsidRDefault="00000000">
      <w:r>
        <w:t>On the specific project page, a user enters key background factors through dropdowns and numeric inputs, such as county, age, sex, education, household size, internet access, internet frequency, and financial health. After clicking a prediction button, the app displays the predicted financial access profile, class probabilities, and a short plain-language explanation. The updated app also includes tabs for model comparison, diagnostics, county-level context, and project downloads.</w:t>
      </w:r>
    </w:p>
    <w:p w14:paraId="694AF155" w14:textId="77777777" w:rsidR="002058B7" w:rsidRDefault="00000000">
      <w:pPr>
        <w:pStyle w:val="Heading1"/>
      </w:pPr>
      <w:r>
        <w:lastRenderedPageBreak/>
        <w:t>Presentation Plan</w:t>
      </w:r>
    </w:p>
    <w:p w14:paraId="7B1943DC" w14:textId="77777777" w:rsidR="002058B7" w:rsidRDefault="00000000">
      <w:r>
        <w:t>The final presentation video will walk through the project problem, the FinAccess dataset, the target construction logic, the feature-screening strategy, the preprocessing choices, the model comparison results, the tuning step, and the final Streamlit application. It will explicitly include a walkthrough of both the main code notebook and the UI implementation so the full workflow is clear from raw data to deployed interface.</w:t>
      </w:r>
    </w:p>
    <w:p w14:paraId="134D440A" w14:textId="77777777" w:rsidR="002058B7" w:rsidRDefault="00000000">
      <w:r>
        <w:rPr>
          <w:b/>
        </w:rPr>
        <w:t xml:space="preserve">The presentation will also explain limitations up front: </w:t>
      </w:r>
      <w:r>
        <w:t>the model predicts current financial access categories, not long-term outcomes; the Banked group includes some dual users; and the results are predictive rather than causal. This framing helps prevent the model from being overstated during the presentation.</w:t>
      </w:r>
    </w:p>
    <w:p w14:paraId="1637E384" w14:textId="77777777" w:rsidR="002058B7" w:rsidRDefault="00000000">
      <w:pPr>
        <w:pStyle w:val="Heading1"/>
      </w:pPr>
      <w:r>
        <w:t>AI Usage Statement</w:t>
      </w:r>
    </w:p>
    <w:p w14:paraId="791FF50C" w14:textId="77777777" w:rsidR="002058B7" w:rsidRDefault="00000000">
      <w:r>
        <w:t>I used generative AI tools such as ChatGPT and Codex in a limited and transparent way during this project. The main uses included brainstorming feature ideas, comparing modeling approaches, helping me understand error messages, improving the clarity of documentation, and accelerating parts of the Streamlit implementation. I did not use AI as a substitute for the actual data analysis, model selection, or interpretation of results, and meaningful AI use is cited according to course requirements.</w:t>
      </w:r>
    </w:p>
    <w:p w14:paraId="5A08D31B" w14:textId="77777777" w:rsidR="002058B7" w:rsidRDefault="00000000">
      <w:r>
        <w:rPr>
          <w:b/>
        </w:rPr>
        <w:t xml:space="preserve">Tools Used: </w:t>
      </w:r>
      <w:r>
        <w:t>ChatGPT and Codex</w:t>
      </w:r>
    </w:p>
    <w:p w14:paraId="1F97957E" w14:textId="77777777" w:rsidR="002058B7" w:rsidRDefault="00000000">
      <w:r>
        <w:rPr>
          <w:b/>
        </w:rPr>
        <w:t xml:space="preserve">Project Uses: </w:t>
      </w:r>
      <w:r>
        <w:t>Brainstorming feature ideas, comparing modeling options, debugging code explanations, improving wording, organizing project documentation, and supporting parts of the Streamlit scaffold.</w:t>
      </w:r>
    </w:p>
    <w:p w14:paraId="154EBEB8" w14:textId="77777777" w:rsidR="002058B7" w:rsidRDefault="00000000">
      <w:r>
        <w:rPr>
          <w:b/>
        </w:rPr>
        <w:t xml:space="preserve">Prompt Summary: </w:t>
      </w:r>
      <w:r>
        <w:t>Requests to compare Kenya financial inclusion datasets, refine the project scope, explain errors, improve proposal language, and help structure the app and project workflow.</w:t>
      </w:r>
    </w:p>
    <w:p w14:paraId="08F75850" w14:textId="77777777" w:rsidR="002058B7" w:rsidRDefault="00000000">
      <w:pPr>
        <w:pStyle w:val="Heading1"/>
      </w:pPr>
      <w:r>
        <w:t>Project Completion Plan</w:t>
      </w:r>
    </w:p>
    <w:p w14:paraId="1403A2C6" w14:textId="77777777" w:rsidR="002058B7" w:rsidRDefault="00000000">
      <w:pPr>
        <w:pStyle w:val="Heading2"/>
      </w:pPr>
      <w:r>
        <w:t>Week 1</w:t>
      </w:r>
    </w:p>
    <w:p w14:paraId="6A8831C3" w14:textId="77777777" w:rsidR="002058B7" w:rsidRDefault="00000000">
      <w:r>
        <w:t>Set up Google Drive, complete the course start-up requirements, review the handbook and project guidelines, choose the FinAccess topic, and submit the Project Topic Selection Form.</w:t>
      </w:r>
    </w:p>
    <w:p w14:paraId="05E9E9A6" w14:textId="77777777" w:rsidR="002058B7" w:rsidRDefault="00000000">
      <w:pPr>
        <w:pStyle w:val="Heading2"/>
      </w:pPr>
      <w:r>
        <w:t>Week 2</w:t>
      </w:r>
    </w:p>
    <w:p w14:paraId="79B536AE" w14:textId="77777777" w:rsidR="002058B7" w:rsidRDefault="00000000">
      <w:r>
        <w:t>Review the FinAccess manual and questionnaire, confirm the target definition, and draft the proposal with the proposed data strategy, methodology, and app plan.</w:t>
      </w:r>
    </w:p>
    <w:p w14:paraId="37FFA5F3" w14:textId="77777777" w:rsidR="002058B7" w:rsidRDefault="00000000">
      <w:pPr>
        <w:pStyle w:val="Heading2"/>
      </w:pPr>
      <w:r>
        <w:lastRenderedPageBreak/>
        <w:t>Week 3</w:t>
      </w:r>
    </w:p>
    <w:p w14:paraId="658E351D" w14:textId="77777777" w:rsidR="002058B7" w:rsidRDefault="00000000">
      <w:r>
        <w:t>Submit the proposal, respond to mentor feedback, and continue revising until the proposal is approved.</w:t>
      </w:r>
    </w:p>
    <w:p w14:paraId="1B989193" w14:textId="77777777" w:rsidR="002058B7" w:rsidRDefault="00000000">
      <w:pPr>
        <w:pStyle w:val="Heading2"/>
      </w:pPr>
      <w:r>
        <w:t>Week 4</w:t>
      </w:r>
    </w:p>
    <w:p w14:paraId="4715676E" w14:textId="77777777" w:rsidR="002058B7" w:rsidRDefault="00000000">
      <w:r>
        <w:t>Begin active project work by cleaning the data, exploring the class distribution, selecting the feature set, and documenting the preparation steps.</w:t>
      </w:r>
    </w:p>
    <w:p w14:paraId="1B2DB530" w14:textId="77777777" w:rsidR="002058B7" w:rsidRDefault="00000000">
      <w:pPr>
        <w:pStyle w:val="Heading2"/>
      </w:pPr>
      <w:r>
        <w:t>Week 5</w:t>
      </w:r>
    </w:p>
    <w:p w14:paraId="438CBE31" w14:textId="77777777" w:rsidR="002058B7" w:rsidRDefault="00000000">
      <w:r>
        <w:t>Build baseline and comparison models, evaluate them, interpret the results, and prepare the Week 5 peer update.</w:t>
      </w:r>
    </w:p>
    <w:p w14:paraId="096929C8" w14:textId="77777777" w:rsidR="002058B7" w:rsidRDefault="00000000">
      <w:pPr>
        <w:pStyle w:val="Heading2"/>
      </w:pPr>
      <w:r>
        <w:t>Week 6</w:t>
      </w:r>
    </w:p>
    <w:p w14:paraId="2274982D" w14:textId="77777777" w:rsidR="002058B7" w:rsidRDefault="00000000">
      <w:r>
        <w:t>Build and refine the Streamlit app, connect it to the trained model, add charts and explanatory text, and test the full workflow.</w:t>
      </w:r>
    </w:p>
    <w:p w14:paraId="6DFECADD" w14:textId="77777777" w:rsidR="002058B7" w:rsidRDefault="00000000">
      <w:pPr>
        <w:pStyle w:val="Heading2"/>
      </w:pPr>
      <w:r>
        <w:t>Week 7</w:t>
      </w:r>
    </w:p>
    <w:p w14:paraId="62B97C4A" w14:textId="77777777" w:rsidR="002058B7" w:rsidRDefault="00000000">
      <w:r>
        <w:t>Finalize the app and notebooks, prepare the presentation video, complete the Project Overview document, and submit all final materials to Google Drive and Brightspace.</w:t>
      </w:r>
    </w:p>
    <w:p w14:paraId="00E21467" w14:textId="77777777" w:rsidR="002058B7" w:rsidRDefault="00000000">
      <w:pPr>
        <w:pStyle w:val="Heading1"/>
      </w:pPr>
      <w:r>
        <w:t>Resources</w:t>
      </w:r>
    </w:p>
    <w:p w14:paraId="7C356E02" w14:textId="77777777" w:rsidR="002058B7" w:rsidRDefault="00000000">
      <w:pPr>
        <w:pStyle w:val="ListBullet"/>
      </w:pPr>
      <w:r>
        <w:t>FinAccess Kenya reports and datasets: https://finaccess.knbs.or.ke/reports-and-datasets</w:t>
      </w:r>
    </w:p>
    <w:p w14:paraId="28CA4495" w14:textId="77777777" w:rsidR="002058B7" w:rsidRDefault="00000000">
      <w:pPr>
        <w:pStyle w:val="ListBullet"/>
      </w:pPr>
      <w:r>
        <w:t>FinAccess methodology page: https://finaccess.knbs.or.ke/methodology</w:t>
      </w:r>
    </w:p>
    <w:p w14:paraId="72B5BEE6" w14:textId="77777777" w:rsidR="002058B7" w:rsidRDefault="00000000">
      <w:pPr>
        <w:pStyle w:val="ListBullet"/>
      </w:pPr>
      <w:r>
        <w:t>FinAccess main portal: https://finaccess.knbs.or.ke/</w:t>
      </w:r>
    </w:p>
    <w:p w14:paraId="4169754A" w14:textId="77777777" w:rsidR="002058B7" w:rsidRDefault="00000000">
      <w:pPr>
        <w:pStyle w:val="ListBullet"/>
      </w:pPr>
      <w:r>
        <w:t>KNBS FinAccess reports category: https://www.knbs.or.ke/reports_category/finaccess/</w:t>
      </w:r>
    </w:p>
    <w:p w14:paraId="05C57BEA" w14:textId="77777777" w:rsidR="002058B7" w:rsidRDefault="00000000">
      <w:pPr>
        <w:pStyle w:val="ListBullet"/>
      </w:pPr>
      <w:r>
        <w:t>DTSC 691 ML Project Guidelines: https://docs.google.com/document/d/1t6TCFBMVVdyeBf2CVFPk11uC38S9HLdlZdJJhSK6m5k/edit?tab=t.yabt891547x3</w:t>
      </w:r>
    </w:p>
    <w:p w14:paraId="042F864B" w14:textId="77777777" w:rsidR="002058B7" w:rsidRDefault="00000000">
      <w:pPr>
        <w:pStyle w:val="ListBullet"/>
      </w:pPr>
      <w:r>
        <w:t>Current Python tools: pandas, scikit-learn, matplotlib, joblib, and Streamlit. Permutation importance is used in the current build for model interpretation.</w:t>
      </w:r>
    </w:p>
    <w:sectPr w:rsidR="002058B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8F2B0" w14:textId="77777777" w:rsidR="00EF6D5F" w:rsidRDefault="00EF6D5F">
      <w:pPr>
        <w:spacing w:after="0" w:line="240" w:lineRule="auto"/>
      </w:pPr>
      <w:r>
        <w:separator/>
      </w:r>
    </w:p>
  </w:endnote>
  <w:endnote w:type="continuationSeparator" w:id="0">
    <w:p w14:paraId="5CD23186" w14:textId="77777777" w:rsidR="00EF6D5F" w:rsidRDefault="00EF6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0979" w14:textId="451A83F6" w:rsidR="002058B7" w:rsidRDefault="00000000">
    <w:pPr>
      <w:pStyle w:val="Footer"/>
      <w:jc w:val="center"/>
    </w:pPr>
    <w:r>
      <w:fldChar w:fldCharType="begin"/>
    </w:r>
    <w:r>
      <w:instrText>PAGE</w:instrText>
    </w:r>
    <w:r>
      <w:fldChar w:fldCharType="separate"/>
    </w:r>
    <w:r w:rsidR="00CC2E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1FB75" w14:textId="77777777" w:rsidR="00EF6D5F" w:rsidRDefault="00EF6D5F">
      <w:pPr>
        <w:spacing w:after="0" w:line="240" w:lineRule="auto"/>
      </w:pPr>
      <w:r>
        <w:separator/>
      </w:r>
    </w:p>
  </w:footnote>
  <w:footnote w:type="continuationSeparator" w:id="0">
    <w:p w14:paraId="73AFEBAE" w14:textId="77777777" w:rsidR="00EF6D5F" w:rsidRDefault="00EF6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409805">
    <w:abstractNumId w:val="8"/>
  </w:num>
  <w:num w:numId="2" w16cid:durableId="1977177136">
    <w:abstractNumId w:val="6"/>
  </w:num>
  <w:num w:numId="3" w16cid:durableId="967706002">
    <w:abstractNumId w:val="5"/>
  </w:num>
  <w:num w:numId="4" w16cid:durableId="2090811592">
    <w:abstractNumId w:val="4"/>
  </w:num>
  <w:num w:numId="5" w16cid:durableId="93482802">
    <w:abstractNumId w:val="7"/>
  </w:num>
  <w:num w:numId="6" w16cid:durableId="202258397">
    <w:abstractNumId w:val="3"/>
  </w:num>
  <w:num w:numId="7" w16cid:durableId="1328364886">
    <w:abstractNumId w:val="2"/>
  </w:num>
  <w:num w:numId="8" w16cid:durableId="2045133461">
    <w:abstractNumId w:val="1"/>
  </w:num>
  <w:num w:numId="9" w16cid:durableId="71107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8B7"/>
    <w:rsid w:val="0029639D"/>
    <w:rsid w:val="00326F90"/>
    <w:rsid w:val="0034688E"/>
    <w:rsid w:val="00746D49"/>
    <w:rsid w:val="00AA1D8D"/>
    <w:rsid w:val="00B47730"/>
    <w:rsid w:val="00C7632D"/>
    <w:rsid w:val="00CB0664"/>
    <w:rsid w:val="00CC2EA2"/>
    <w:rsid w:val="00EF6D5F"/>
    <w:rsid w:val="00FC5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168DB5-EA31-4AE7-8EB0-8A27ADD5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1896</Words>
  <Characters>11891</Characters>
  <Application>Microsoft Office Word</Application>
  <DocSecurity>0</DocSecurity>
  <Lines>191</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Jesse N. Mutiga</cp:lastModifiedBy>
  <cp:revision>3</cp:revision>
  <dcterms:created xsi:type="dcterms:W3CDTF">2013-12-23T23:15:00Z</dcterms:created>
  <dcterms:modified xsi:type="dcterms:W3CDTF">2026-04-21T11:13:00Z</dcterms:modified>
  <cp:category/>
</cp:coreProperties>
</file>