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288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"/>
        <w:gridCol w:w="9796"/>
      </w:tblGrid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 xml:space="preserve">การใช้ผ้าสามเหลี่ยม ( </w:t>
            </w: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</w:rPr>
              <w:t>Triangular bandages)</w:t>
            </w:r>
            <w:bookmarkStart w:id="0" w:name="การใช้ผ้าสามเหลี่ยม"/>
            <w:bookmarkEnd w:id="0"/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before="100" w:beforeAutospacing="1" w:after="100" w:afterAutospacing="1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การใช้ผ้าสามเหลี่ยม เมื่อมีบาดแผลต้องใช้ผ้าพันแผล ซึ่งขณะนั้นมีผ้าสามเหลี่ยม</w:t>
            </w:r>
          </w:p>
        </w:tc>
      </w:tr>
      <w:tr w:rsidR="00CE5672" w:rsidRPr="00CE5672" w:rsidTr="00CE5672">
        <w:trPr>
          <w:trHeight w:val="606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สามารถใช้ผ้าสามเหลี่ยมแทนผ้าพันแผลได้ โดยพับเก็บมุมให้เรียบร้อย และก่อนพันแผลต้องพับผ้าสามเหลี่ยมให้มีขนาดเหมาะสมกับบาดแผล และอวั ยวะ</w:t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</w:rPr>
              <w:t xml:space="preserve">1. </w:t>
            </w: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การคล้องแขน (</w:t>
            </w: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</w:rPr>
              <w:t>Arm sling)</w:t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ในกรณีที่มีกระดูกต้นแขนหัก หรือกระดูกปลายแขนหัก เมื่อตกแต่งบาดแผล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และเข้าเฝือกชั่วคราวเรียบร้อยแล้ว จะคล้องด้วยผ้าสามเหลี่ยมตามลำดับดังนี้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1.1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วางผ้าสามเหลี่ยมให้มุมยอดของสามเหลี่ยมอยู่ใต้ข้อศอกข้างที่เจ็บ</w:t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ให้ชายผ้าด้านพบพาดไปที่ไหล่อีกข้างหนึ่ง</w:t>
            </w:r>
          </w:p>
        </w:tc>
      </w:tr>
      <w:tr w:rsidR="00CE5672" w:rsidRPr="00CE5672" w:rsidTr="00CE5672">
        <w:trPr>
          <w:trHeight w:val="3212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16E56A70" wp14:editId="7A31105E">
                  <wp:extent cx="1905000" cy="2019300"/>
                  <wp:effectExtent l="0" t="0" r="0" b="0"/>
                  <wp:docPr id="6" name="Picture 6" descr="http://scout.bmk.in.th/payaban/images_payaban/arm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cout.bmk.in.th/payaban/images_payaban/arm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1.2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จับชายผ้าด้านล่างตลบกลับขึ้นข้างบน ให้ชายผ้าพาดไปที่ไหล่ข้างเดียว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กับแขนข้างที่เจ็บ</w:t>
            </w:r>
          </w:p>
        </w:tc>
      </w:tr>
      <w:tr w:rsidR="00CE5672" w:rsidRPr="00CE5672" w:rsidTr="00CE5672">
        <w:trPr>
          <w:trHeight w:val="3212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474DE381" wp14:editId="121DA15C">
                  <wp:extent cx="1905000" cy="2019300"/>
                  <wp:effectExtent l="0" t="0" r="0" b="0"/>
                  <wp:docPr id="5" name="Picture 5" descr="http://scout.bmk.in.th/payaban/images_payaban/arm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scout.bmk.in.th/payaban/images_payaban/arm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1.3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ผูกชายทั้งสองให้ปมอยู่ตรงร่องเหนือกระดูกไหปลาร้า</w:t>
            </w:r>
          </w:p>
        </w:tc>
      </w:tr>
      <w:tr w:rsidR="00CE5672" w:rsidRPr="00CE5672" w:rsidTr="00CE5672">
        <w:trPr>
          <w:trHeight w:val="3425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15C40391" wp14:editId="1BC98D8C">
                  <wp:extent cx="1905000" cy="2143125"/>
                  <wp:effectExtent l="0" t="0" r="0" b="9525"/>
                  <wp:docPr id="4" name="Picture 4" descr="http://scout.bmk.in.th/payaban/images_payaban/arm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scout.bmk.in.th/payaban/images_payaban/arm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1.4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เก็บมุมสามเหลี่ยมโดยใช้เข็มกลัดติดให้เรียบร้อย</w:t>
            </w:r>
          </w:p>
        </w:tc>
      </w:tr>
      <w:tr w:rsidR="00CE5672" w:rsidRPr="00CE5672" w:rsidTr="00CE5672">
        <w:trPr>
          <w:trHeight w:val="2637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1E47EC5C" wp14:editId="48433740">
                  <wp:extent cx="1905000" cy="1647825"/>
                  <wp:effectExtent l="0" t="0" r="0" b="9525"/>
                  <wp:docPr id="3" name="Picture 3" descr="http://scout.bmk.in.th/payaban/images_payaban/arm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scout.bmk.in.th/payaban/images_payaban/arm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</w:rPr>
              <w:t xml:space="preserve">2. </w:t>
            </w:r>
            <w:r w:rsidRPr="00CE5672">
              <w:rPr>
                <w:rFonts w:ascii="Microsoft Sans Serif" w:eastAsia="Times New Roman" w:hAnsi="Microsoft Sans Serif" w:cs="Microsoft Sans Serif"/>
                <w:b/>
                <w:bCs/>
                <w:color w:val="9900FF"/>
                <w:sz w:val="27"/>
                <w:szCs w:val="27"/>
                <w:cs/>
              </w:rPr>
              <w:t>การพันมือ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ใช้กรณีที่มีบาดแผลที่มือ ทำตามลำดับดังนี้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2.1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วางมือที่บาดเจ็บลงบนผ้าสามเหลี่ยม จับมุมยอดของผ้าสามเหลี่ยม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gridSpan w:val="2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ลงมาด้านฐานจรดบริเวณข้อมือ</w:t>
            </w:r>
          </w:p>
        </w:tc>
      </w:tr>
      <w:tr w:rsidR="00CE5672" w:rsidRPr="00CE5672" w:rsidTr="00CE5672">
        <w:trPr>
          <w:trHeight w:val="500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55AB6412" wp14:editId="2B2AEDDE">
                  <wp:extent cx="3086100" cy="1447800"/>
                  <wp:effectExtent l="0" t="0" r="0" b="0"/>
                  <wp:docPr id="2" name="Picture 2" descr="http://scout.bmk.in.th/payaban/images_payaban/hand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scout.bmk.in.th/payaban/images_payaban/hand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5672" w:rsidRPr="00CE5672" w:rsidTr="00CE5672">
        <w:trPr>
          <w:trHeight w:val="318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 xml:space="preserve">2.2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ห่อมือโดยจับชายผ้าทั้งด้านซ้ายและขวาไขว้กัน</w:t>
            </w:r>
          </w:p>
        </w:tc>
      </w:tr>
      <w:tr w:rsidR="00CE5672" w:rsidRPr="00CE5672" w:rsidTr="00CE5672">
        <w:trPr>
          <w:trHeight w:val="303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t> </w:t>
            </w:r>
          </w:p>
        </w:tc>
        <w:tc>
          <w:tcPr>
            <w:tcW w:w="0" w:type="auto"/>
            <w:hideMark/>
          </w:tcPr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</w:p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lastRenderedPageBreak/>
              <w:t xml:space="preserve">2.3 </w:t>
            </w: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  <w:cs/>
              </w:rPr>
              <w:t>ผูกเงื่อนพิรอดบริเวณข้อมือ</w:t>
            </w:r>
          </w:p>
        </w:tc>
      </w:tr>
      <w:tr w:rsidR="00CE5672" w:rsidRPr="00CE5672" w:rsidTr="00CE5672">
        <w:trPr>
          <w:trHeight w:val="2242"/>
          <w:tblCellSpacing w:w="0" w:type="dxa"/>
        </w:trPr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  <w:lastRenderedPageBreak/>
              <w:t> </w:t>
            </w:r>
          </w:p>
        </w:tc>
        <w:tc>
          <w:tcPr>
            <w:tcW w:w="0" w:type="auto"/>
            <w:hideMark/>
          </w:tcPr>
          <w:p w:rsidR="00CE5672" w:rsidRPr="00CE5672" w:rsidRDefault="00CE5672" w:rsidP="00CE5672">
            <w:pPr>
              <w:spacing w:after="0" w:line="240" w:lineRule="auto"/>
              <w:rPr>
                <w:rFonts w:ascii="Microsoft Sans Serif" w:eastAsia="Times New Roman" w:hAnsi="Microsoft Sans Serif" w:cs="Microsoft Sans Serif"/>
                <w:color w:val="000000"/>
                <w:sz w:val="27"/>
                <w:szCs w:val="27"/>
              </w:rPr>
            </w:pPr>
            <w:r w:rsidRPr="00CE5672">
              <w:rPr>
                <w:rFonts w:ascii="Microsoft Sans Serif" w:eastAsia="Times New Roman" w:hAnsi="Microsoft Sans Serif" w:cs="Microsoft Sans Serif"/>
                <w:noProof/>
                <w:color w:val="000000"/>
                <w:sz w:val="27"/>
                <w:szCs w:val="27"/>
              </w:rPr>
              <w:drawing>
                <wp:inline distT="0" distB="0" distL="0" distR="0" wp14:anchorId="28F423A2" wp14:editId="3907CA5B">
                  <wp:extent cx="3171825" cy="1409700"/>
                  <wp:effectExtent l="0" t="0" r="9525" b="0"/>
                  <wp:docPr id="1" name="Picture 1" descr="http://scout.bmk.in.th/payaban/images_payaban/hand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scout.bmk.in.th/payaban/images_payaban/hand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484C" w:rsidRDefault="00CE5672">
      <w:bookmarkStart w:id="1" w:name="_GoBack"/>
      <w:bookmarkEnd w:id="1"/>
    </w:p>
    <w:sectPr w:rsidR="002448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72"/>
    <w:rsid w:val="002B2206"/>
    <w:rsid w:val="00CE5672"/>
    <w:rsid w:val="00F8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FB439"/>
  <w15:chartTrackingRefBased/>
  <w15:docId w15:val="{F2D4D861-AB04-4141-ADB8-8AC1994B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32">
    <w:name w:val="style32"/>
    <w:basedOn w:val="DefaultParagraphFont"/>
    <w:rsid w:val="00CE5672"/>
  </w:style>
  <w:style w:type="paragraph" w:styleId="NormalWeb">
    <w:name w:val="Normal (Web)"/>
    <w:basedOn w:val="Normal"/>
    <w:uiPriority w:val="99"/>
    <w:semiHidden/>
    <w:unhideWhenUsed/>
    <w:rsid w:val="00CE5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E5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4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PSUIC</dc:creator>
  <cp:keywords/>
  <dc:description/>
  <cp:lastModifiedBy>PSUIC</cp:lastModifiedBy>
  <cp:revision>1</cp:revision>
  <dcterms:created xsi:type="dcterms:W3CDTF">2017-05-22T07:52:00Z</dcterms:created>
  <dcterms:modified xsi:type="dcterms:W3CDTF">2017-05-22T07:57:00Z</dcterms:modified>
</cp:coreProperties>
</file>