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25"/>
        <w:ind w:hanging="0" w:left="0" w:right="0"/>
        <w:jc w:val="center"/>
        <w:rPr>
          <w:caps/>
          <w:color w:val="6B6C72"/>
          <w:spacing w:val="15"/>
          <w:sz w:val="24"/>
        </w:rPr>
      </w:pPr>
      <w:r>
        <w:rPr>
          <w:caps/>
          <w:color w:val="6B6C72"/>
          <w:spacing w:val="15"/>
          <w:sz w:val="24"/>
        </w:rPr>
        <w:t xml:space="preserve">Хакатон «Лидеры цифровой трансформации 2026» • Специальный трек ФСП </w:t>
      </w:r>
    </w:p>
    <w:p>
      <w:pPr>
        <w:pStyle w:val="BodyText"/>
        <w:bidi w:val="0"/>
        <w:spacing w:before="0" w:after="375"/>
        <w:ind w:hanging="0" w:left="0" w:right="0"/>
        <w:jc w:val="center"/>
        <w:rPr>
          <w:b/>
          <w:caps/>
          <w:color w:val="FFFFFF"/>
          <w:spacing w:val="0"/>
          <w:sz w:val="22"/>
          <w:shd w:fill="402FFF" w:val="clear"/>
        </w:rPr>
      </w:pPr>
      <w:r>
        <w:rPr>
          <w:b/>
          <w:caps/>
          <w:color w:val="FFFFFF"/>
          <w:spacing w:val="0"/>
          <w:sz w:val="22"/>
          <w:shd w:fill="402FFF" w:val="clear"/>
        </w:rPr>
        <w:t>Сопроводительная инженерная документация</w:t>
      </w:r>
    </w:p>
    <w:p>
      <w:pPr>
        <w:pStyle w:val="1doc-title"/>
        <w:bidi w:val="0"/>
        <w:jc w:val="center"/>
        <w:rPr/>
      </w:pPr>
      <w:r>
        <w:rPr/>
        <w:t xml:space="preserve">Цифровая платформа-агрегатор ИТ-вакансий с верифицированным профилем достижений Федерации спортивного программирования </w:t>
      </w:r>
    </w:p>
    <w:p>
      <w:pPr>
        <w:pStyle w:val="BodyText"/>
        <w:bidi w:val="0"/>
        <w:spacing w:before="0" w:after="600"/>
        <w:ind w:hanging="0" w:left="0" w:right="0"/>
        <w:jc w:val="center"/>
        <w:rPr>
          <w:b/>
          <w:color w:val="520978"/>
          <w:sz w:val="28"/>
        </w:rPr>
      </w:pPr>
      <w:r>
        <w:rPr>
          <w:b/>
          <w:color w:val="520978"/>
          <w:sz w:val="28"/>
        </w:rPr>
        <w:t xml:space="preserve">Архитектурное проектирование, математические модели ранжирования, психометрический движок KITE IRT 3PL и руководство по развертыванию </w:t>
      </w:r>
    </w:p>
    <w:p>
      <w:pPr>
        <w:pStyle w:val="BodyText"/>
        <w:bidi w:val="0"/>
        <w:spacing w:before="0" w:after="150"/>
        <w:ind w:hanging="0" w:left="600" w:right="600"/>
        <w:jc w:val="left"/>
        <w:rPr/>
      </w:pPr>
      <w:r>
        <w:rPr>
          <w:b/>
          <w:color w:val="402FFF"/>
          <w:sz w:val="22"/>
          <w:bdr w:val="single" w:sz="12" w:space="18" w:color="E2E3E8"/>
          <w:shd w:fill="F8F9FC" w:val="clear"/>
        </w:rPr>
        <w:t>Команда разработчиков:</w:t>
      </w:r>
      <w:r>
        <w:rPr>
          <w:sz w:val="22"/>
          <w:bdr w:val="single" w:sz="12" w:space="18" w:color="E2E3E8"/>
          <w:shd w:fill="F8F9FC" w:val="clear"/>
        </w:rPr>
        <w:t xml:space="preserve"> </w:t>
      </w:r>
      <w:r>
        <w:rPr>
          <w:rStyle w:val="Strong"/>
          <w:color w:val="402FFF"/>
          <w:sz w:val="22"/>
          <w:bdr w:val="single" w:sz="12" w:space="18" w:color="E2E3E8"/>
          <w:shd w:fill="F8F9FC" w:val="clear"/>
        </w:rPr>
        <w:t>«Ezdel»</w:t>
      </w:r>
    </w:p>
    <w:p>
      <w:pPr>
        <w:pStyle w:val="BodyText"/>
        <w:bidi w:val="0"/>
        <w:spacing w:before="0" w:after="150"/>
        <w:ind w:hanging="0" w:left="600" w:right="600"/>
        <w:jc w:val="left"/>
        <w:rPr/>
      </w:pPr>
      <w:r>
        <w:rPr>
          <w:b/>
          <w:color w:val="402FFF"/>
          <w:sz w:val="22"/>
          <w:bdr w:val="single" w:sz="12" w:space="18" w:color="E2E3E8"/>
          <w:shd w:fill="F8F9FC" w:val="clear"/>
        </w:rPr>
        <w:t>Репозиторий GitHub:</w:t>
      </w:r>
      <w:r>
        <w:rPr>
          <w:sz w:val="22"/>
          <w:bdr w:val="single" w:sz="12" w:space="18" w:color="E2E3E8"/>
          <w:shd w:fill="F8F9FC" w:val="clear"/>
        </w:rPr>
        <w:t xml:space="preserve"> </w:t>
      </w:r>
      <w:r>
        <w:rPr>
          <w:rStyle w:val="Strong"/>
          <w:color w:val="402FFF"/>
          <w:sz w:val="22"/>
          <w:bdr w:val="single" w:sz="12" w:space="18" w:color="E2E3E8"/>
          <w:shd w:fill="F8F9FC" w:val="clear"/>
        </w:rPr>
        <w:t>https://github.com/mutsolgov/fsp-talent-platform</w:t>
      </w:r>
    </w:p>
    <w:p>
      <w:pPr>
        <w:pStyle w:val="BodyText"/>
        <w:bidi w:val="0"/>
        <w:spacing w:before="0" w:after="150"/>
        <w:ind w:hanging="0" w:left="600" w:right="600"/>
        <w:jc w:val="left"/>
        <w:rPr/>
      </w:pPr>
      <w:r>
        <w:rPr>
          <w:b/>
          <w:color w:val="402FFF"/>
          <w:sz w:val="22"/>
          <w:bdr w:val="single" w:sz="12" w:space="18" w:color="E2E3E8"/>
          <w:shd w:fill="F8F9FC" w:val="clear"/>
        </w:rPr>
        <w:t>Боевой демо-стенд:</w:t>
      </w:r>
      <w:r>
        <w:rPr>
          <w:sz w:val="22"/>
          <w:bdr w:val="single" w:sz="12" w:space="18" w:color="E2E3E8"/>
          <w:shd w:fill="F8F9FC" w:val="clear"/>
        </w:rPr>
        <w:t xml:space="preserve"> </w:t>
      </w:r>
      <w:r>
        <w:rPr>
          <w:rStyle w:val="Strong"/>
          <w:color w:val="402FFF"/>
          <w:sz w:val="22"/>
          <w:bdr w:val="single" w:sz="12" w:space="18" w:color="E2E3E8"/>
          <w:shd w:fill="F8F9FC" w:val="clear"/>
        </w:rPr>
        <w:t>http://153.76.194.215</w:t>
      </w:r>
      <w:r>
        <w:rPr>
          <w:sz w:val="22"/>
          <w:bdr w:val="single" w:sz="12" w:space="18" w:color="E2E3E8"/>
          <w:shd w:fill="F8F9FC" w:val="clear"/>
        </w:rPr>
        <w:t xml:space="preserve"> (Порт 80)</w:t>
      </w:r>
    </w:p>
    <w:p>
      <w:pPr>
        <w:pStyle w:val="BodyText"/>
        <w:bidi w:val="0"/>
        <w:spacing w:before="0" w:after="150"/>
        <w:ind w:hanging="0" w:left="600" w:right="600"/>
        <w:jc w:val="left"/>
        <w:rPr/>
      </w:pPr>
      <w:r>
        <w:rPr>
          <w:b/>
          <w:color w:val="402FFF"/>
          <w:sz w:val="22"/>
          <w:bdr w:val="single" w:sz="12" w:space="18" w:color="E2E3E8"/>
          <w:shd w:fill="F8F9FC" w:val="clear"/>
        </w:rPr>
        <w:t>Интерактивный API Swagger:</w:t>
      </w:r>
      <w:r>
        <w:rPr>
          <w:sz w:val="22"/>
          <w:bdr w:val="single" w:sz="12" w:space="18" w:color="E2E3E8"/>
          <w:shd w:fill="F8F9FC" w:val="clear"/>
        </w:rPr>
        <w:t xml:space="preserve"> </w:t>
      </w:r>
      <w:r>
        <w:rPr>
          <w:rStyle w:val="Strong"/>
          <w:sz w:val="22"/>
          <w:bdr w:val="single" w:sz="12" w:space="18" w:color="E2E3E8"/>
          <w:shd w:fill="F8F9FC" w:val="clear"/>
        </w:rPr>
        <w:t>http://153.76.194.215/docs</w:t>
      </w:r>
      <w:r>
        <w:rPr>
          <w:sz w:val="22"/>
          <w:bdr w:val="single" w:sz="12" w:space="18" w:color="E2E3E8"/>
          <w:shd w:fill="F8F9FC" w:val="clear"/>
        </w:rPr>
        <w:t xml:space="preserve"> (Порт 8000)</w:t>
      </w:r>
    </w:p>
    <w:p>
      <w:pPr>
        <w:pStyle w:val="BodyText"/>
        <w:bidi w:val="0"/>
        <w:spacing w:before="0" w:after="150"/>
        <w:ind w:hanging="0" w:left="600" w:right="600"/>
        <w:jc w:val="left"/>
        <w:rPr/>
      </w:pPr>
      <w:r>
        <w:rPr>
          <w:b/>
          <w:color w:val="402FFF"/>
          <w:sz w:val="22"/>
          <w:bdr w:val="single" w:sz="12" w:space="18" w:color="E2E3E8"/>
          <w:shd w:fill="F8F9FC" w:val="clear"/>
        </w:rPr>
        <w:t>Сервер IAM Keycloak 26:</w:t>
      </w:r>
      <w:r>
        <w:rPr>
          <w:sz w:val="22"/>
          <w:bdr w:val="single" w:sz="12" w:space="18" w:color="E2E3E8"/>
          <w:shd w:fill="F8F9FC" w:val="clear"/>
        </w:rPr>
        <w:t xml:space="preserve"> </w:t>
      </w:r>
      <w:r>
        <w:rPr>
          <w:rStyle w:val="Strong"/>
          <w:sz w:val="22"/>
          <w:bdr w:val="single" w:sz="12" w:space="18" w:color="E2E3E8"/>
          <w:shd w:fill="F8F9FC" w:val="clear"/>
        </w:rPr>
        <w:t>http://153.76.194.215/auth/</w:t>
      </w:r>
      <w:r>
        <w:rPr>
          <w:sz w:val="22"/>
          <w:bdr w:val="single" w:sz="12" w:space="18" w:color="E2E3E8"/>
          <w:shd w:fill="F8F9FC" w:val="clear"/>
        </w:rPr>
        <w:t xml:space="preserve"> (Порт 8080)</w:t>
      </w:r>
    </w:p>
    <w:p>
      <w:pPr>
        <w:pStyle w:val="BodyText"/>
        <w:bidi w:val="0"/>
        <w:spacing w:before="0" w:after="150"/>
        <w:ind w:hanging="0" w:left="600" w:right="600"/>
        <w:jc w:val="left"/>
        <w:rPr>
          <w:sz w:val="22"/>
          <w:bdr w:val="single" w:sz="12" w:space="18" w:color="E2E3E8"/>
          <w:shd w:fill="F8F9FC" w:val="clear"/>
        </w:rPr>
      </w:pPr>
      <w:r>
        <w:rPr>
          <w:b/>
          <w:color w:val="402FFF"/>
          <w:sz w:val="22"/>
          <w:bdr w:val="single" w:sz="12" w:space="18" w:color="E2E3E8"/>
          <w:shd w:fill="F8F9FC" w:val="clear"/>
        </w:rPr>
        <w:t>Соответствие стандарту ТЗ:</w:t>
      </w:r>
      <w:r>
        <w:rPr>
          <w:sz w:val="22"/>
          <w:bdr w:val="single" w:sz="12" w:space="18" w:color="E2E3E8"/>
          <w:shd w:fill="F8F9FC" w:val="clear"/>
        </w:rPr>
        <w:t xml:space="preserve"> Раздел 3.4 и 5.2 «Финальная сдача решения»</w:t>
      </w:r>
    </w:p>
    <w:p>
      <w:pPr>
        <w:pStyle w:val="BodyText"/>
        <w:bidi w:val="0"/>
        <w:spacing w:before="0" w:after="150"/>
        <w:ind w:hanging="0" w:left="600" w:right="600"/>
        <w:jc w:val="left"/>
        <w:rPr>
          <w:sz w:val="22"/>
          <w:bdr w:val="single" w:sz="12" w:space="18" w:color="E2E3E8"/>
          <w:shd w:fill="F8F9FC" w:val="clear"/>
        </w:rPr>
      </w:pPr>
      <w:r>
        <w:rPr>
          <w:b/>
          <w:color w:val="402FFF"/>
          <w:sz w:val="22"/>
          <w:bdr w:val="single" w:sz="12" w:space="18" w:color="E2E3E8"/>
          <w:shd w:fill="F8F9FC" w:val="clear"/>
        </w:rPr>
        <w:t>Формат сдачи:</w:t>
      </w:r>
      <w:r>
        <w:rPr>
          <w:sz w:val="22"/>
          <w:bdr w:val="single" w:sz="12" w:space="18" w:color="E2E3E8"/>
          <w:shd w:fill="F8F9FC" w:val="clear"/>
        </w:rPr>
        <w:t xml:space="preserve"> PDF и DOCX (автономная сборка)</w:t>
      </w:r>
    </w:p>
    <w:p>
      <w:pPr>
        <w:pStyle w:val="BodyText"/>
        <w:bidi w:val="0"/>
        <w:spacing w:before="0" w:after="150"/>
        <w:ind w:hanging="0" w:left="600" w:right="600"/>
        <w:jc w:val="left"/>
        <w:rPr>
          <w:sz w:val="22"/>
          <w:bdr w:val="single" w:sz="12" w:space="18" w:color="E2E3E8"/>
          <w:shd w:fill="F8F9FC" w:val="clear"/>
        </w:rPr>
      </w:pPr>
      <w:r>
        <w:rPr>
          <w:b/>
          <w:color w:val="402FFF"/>
          <w:sz w:val="22"/>
          <w:bdr w:val="single" w:sz="12" w:space="18" w:color="E2E3E8"/>
          <w:shd w:fill="F8F9FC" w:val="clear"/>
        </w:rPr>
        <w:t>Дата формирования:</w:t>
      </w:r>
      <w:r>
        <w:rPr>
          <w:sz w:val="22"/>
          <w:bdr w:val="single" w:sz="12" w:space="18" w:color="E2E3E8"/>
          <w:shd w:fill="F8F9FC" w:val="clear"/>
        </w:rPr>
        <w:t xml:space="preserve"> Октябрь 2026 г.</w:t>
      </w:r>
    </w:p>
    <w:p>
      <w:pPr>
        <w:pStyle w:val="BodyText"/>
        <w:bidi w:val="0"/>
        <w:spacing w:before="1200" w:after="283"/>
        <w:ind w:hanging="0" w:left="0" w:right="0"/>
        <w:jc w:val="center"/>
        <w:rPr>
          <w:color w:val="7B7C80"/>
          <w:sz w:val="22"/>
        </w:rPr>
      </w:pPr>
      <w:r>
        <w:rPr>
          <w:color w:val="7B7C80"/>
          <w:sz w:val="22"/>
        </w:rPr>
        <w:t xml:space="preserve">Москва, 2026 </w:t>
      </w:r>
    </w:p>
    <w:p>
      <w:pPr>
        <w:pStyle w:val="BodyText"/>
        <w:bidi w:val="0"/>
        <w:spacing w:before="0" w:after="375"/>
        <w:ind w:hanging="0" w:left="0" w:right="0"/>
        <w:jc w:val="left"/>
        <w:rPr>
          <w:b/>
          <w:color w:val="1C1D22"/>
          <w:sz w:val="36"/>
          <w:bdr w:val="single" w:sz="18" w:space="6" w:color="402FFF"/>
        </w:rPr>
      </w:pPr>
      <w:r>
        <w:rPr>
          <w:b/>
          <w:color w:val="1C1D22"/>
          <w:sz w:val="36"/>
          <w:bdr w:val="single" w:sz="18" w:space="6" w:color="402FFF"/>
        </w:rPr>
        <w:t>Содержание сопроводительной документации</w:t>
      </w:r>
    </w:p>
    <w:p>
      <w:pPr>
        <w:pStyle w:val="BodyText"/>
        <w:bidi w:val="0"/>
        <w:spacing w:before="0" w:after="180"/>
        <w:ind w:hanging="0" w:left="0" w:right="0"/>
        <w:jc w:val="left"/>
        <w:rPr/>
      </w:pPr>
      <w:r>
        <w:rPr>
          <w:rStyle w:val="Strong"/>
          <w:sz w:val="22"/>
          <w:bdr w:val="dotted" w:sz="2" w:space="3" w:color="CCCCCC"/>
        </w:rPr>
        <w:t>1. Демо-стенд и экспресс-руководство для жюри (Live Production)</w:t>
      </w:r>
      <w:r>
        <w:rPr>
          <w:sz w:val="22"/>
          <w:bdr w:val="dotted" w:sz="2" w:space="3" w:color="CCCCCC"/>
        </w:rPr>
        <w:t>Стр. 3</w:t>
      </w:r>
    </w:p>
    <w:p>
      <w:pPr>
        <w:pStyle w:val="BodyText"/>
        <w:bidi w:val="0"/>
        <w:spacing w:before="0" w:after="180"/>
        <w:ind w:hanging="0" w:left="0" w:right="0"/>
        <w:jc w:val="left"/>
        <w:rPr/>
      </w:pPr>
      <w:r>
        <w:rPr>
          <w:rStyle w:val="Strong"/>
          <w:sz w:val="22"/>
          <w:bdr w:val="dotted" w:sz="2" w:space="3" w:color="CCCCCC"/>
        </w:rPr>
        <w:t>2. Функциональная и компонентная архитектура решения (ТЗ §3.4 п.1)</w:t>
      </w:r>
      <w:r>
        <w:rPr>
          <w:sz w:val="22"/>
          <w:bdr w:val="dotted" w:sz="2" w:space="3" w:color="CCCCCC"/>
        </w:rPr>
        <w:t>Стр. 4</w:t>
      </w:r>
    </w:p>
    <w:p>
      <w:pPr>
        <w:pStyle w:val="BodyText"/>
        <w:bidi w:val="0"/>
        <w:spacing w:before="0" w:after="180"/>
        <w:ind w:hanging="0" w:left="0" w:right="0"/>
        <w:jc w:val="left"/>
        <w:rPr/>
      </w:pPr>
      <w:r>
        <w:rPr>
          <w:rStyle w:val="Strong"/>
          <w:sz w:val="22"/>
          <w:bdr w:val="dotted" w:sz="2" w:space="3" w:color="CCCCCC"/>
        </w:rPr>
        <w:t>3. Психометрический движок KITE IRT 3PL и защита от утечек (ТЗ §3.4 п.2)</w:t>
      </w:r>
      <w:r>
        <w:rPr>
          <w:sz w:val="22"/>
          <w:bdr w:val="dotted" w:sz="2" w:space="3" w:color="CCCCCC"/>
        </w:rPr>
        <w:t>Стр. 6</w:t>
      </w:r>
    </w:p>
    <w:p>
      <w:pPr>
        <w:pStyle w:val="BodyText"/>
        <w:bidi w:val="0"/>
        <w:spacing w:before="0" w:after="180"/>
        <w:ind w:hanging="0" w:left="0" w:right="0"/>
        <w:jc w:val="left"/>
        <w:rPr/>
      </w:pPr>
      <w:r>
        <w:rPr>
          <w:rStyle w:val="Strong"/>
          <w:sz w:val="22"/>
          <w:bdr w:val="dotted" w:sz="2" w:space="3" w:color="CCCCCC"/>
        </w:rPr>
        <w:t>4. Механика подбора, ранжирования и категоризации (ТЗ §3.4 п.3)</w:t>
      </w:r>
      <w:r>
        <w:rPr>
          <w:sz w:val="22"/>
          <w:bdr w:val="dotted" w:sz="2" w:space="3" w:color="CCCCCC"/>
        </w:rPr>
        <w:t>Стр. 8</w:t>
      </w:r>
    </w:p>
    <w:p>
      <w:pPr>
        <w:pStyle w:val="BodyText"/>
        <w:bidi w:val="0"/>
        <w:spacing w:before="0" w:after="180"/>
        <w:ind w:hanging="0" w:left="0" w:right="0"/>
        <w:jc w:val="left"/>
        <w:rPr/>
      </w:pPr>
      <w:r>
        <w:rPr>
          <w:rStyle w:val="Strong"/>
          <w:sz w:val="22"/>
          <w:bdr w:val="dotted" w:sz="2" w:space="3" w:color="CCCCCC"/>
        </w:rPr>
        <w:t>5. Процедура валидации решения и результаты бенчмарка (ТЗ §3.4 п.4)</w:t>
      </w:r>
      <w:r>
        <w:rPr>
          <w:sz w:val="22"/>
          <w:bdr w:val="dotted" w:sz="2" w:space="3" w:color="CCCCCC"/>
        </w:rPr>
        <w:t>Стр. 10</w:t>
      </w:r>
    </w:p>
    <w:p>
      <w:pPr>
        <w:pStyle w:val="BodyText"/>
        <w:bidi w:val="0"/>
        <w:spacing w:before="0" w:after="180"/>
        <w:ind w:hanging="0" w:left="0" w:right="0"/>
        <w:jc w:val="left"/>
        <w:rPr/>
      </w:pPr>
      <w:r>
        <w:rPr>
          <w:rStyle w:val="Strong"/>
          <w:sz w:val="22"/>
          <w:bdr w:val="dotted" w:sz="2" w:space="3" w:color="CCCCCC"/>
        </w:rPr>
        <w:t>6. Схема интеграции с реестром ФСП (ТЗ §3.4 п.5)</w:t>
      </w:r>
      <w:r>
        <w:rPr>
          <w:sz w:val="22"/>
          <w:bdr w:val="dotted" w:sz="2" w:space="3" w:color="CCCCCC"/>
        </w:rPr>
        <w:t>Стр. 12</w:t>
      </w:r>
    </w:p>
    <w:p>
      <w:pPr>
        <w:pStyle w:val="BodyText"/>
        <w:bidi w:val="0"/>
        <w:spacing w:before="0" w:after="180"/>
        <w:ind w:hanging="0" w:left="0" w:right="0"/>
        <w:jc w:val="left"/>
        <w:rPr/>
      </w:pPr>
      <w:r>
        <w:rPr>
          <w:rStyle w:val="Strong"/>
          <w:sz w:val="22"/>
          <w:bdr w:val="dotted" w:sz="2" w:space="3" w:color="CCCCCC"/>
        </w:rPr>
        <w:t>7. Защита персональных данных (152-ФЗ РФ) и прозрачность зарплат</w:t>
      </w:r>
      <w:r>
        <w:rPr>
          <w:sz w:val="22"/>
          <w:bdr w:val="dotted" w:sz="2" w:space="3" w:color="CCCCCC"/>
        </w:rPr>
        <w:t>Стр. 13</w:t>
      </w:r>
    </w:p>
    <w:p>
      <w:pPr>
        <w:pStyle w:val="BodyText"/>
        <w:bidi w:val="0"/>
        <w:spacing w:before="0" w:after="180"/>
        <w:ind w:hanging="0" w:left="0" w:right="0"/>
        <w:jc w:val="left"/>
        <w:rPr/>
      </w:pPr>
      <w:r>
        <w:rPr>
          <w:rStyle w:val="Strong"/>
          <w:sz w:val="22"/>
          <w:bdr w:val="dotted" w:sz="2" w:space="3" w:color="CCCCCC"/>
        </w:rPr>
        <w:t>8. Спецификация REST API и внешние интеграции (ТЗ §3.4 п.6)</w:t>
      </w:r>
      <w:r>
        <w:rPr>
          <w:sz w:val="22"/>
          <w:bdr w:val="dotted" w:sz="2" w:space="3" w:color="CCCCCC"/>
        </w:rPr>
        <w:t>Стр. 14</w:t>
      </w:r>
    </w:p>
    <w:p>
      <w:pPr>
        <w:pStyle w:val="BodyText"/>
        <w:bidi w:val="0"/>
        <w:spacing w:before="0" w:after="180"/>
        <w:ind w:hanging="0" w:left="0" w:right="0"/>
        <w:jc w:val="left"/>
        <w:rPr/>
      </w:pPr>
      <w:r>
        <w:rPr>
          <w:rStyle w:val="Strong"/>
          <w:sz w:val="22"/>
          <w:bdr w:val="dotted" w:sz="2" w:space="3" w:color="CCCCCC"/>
        </w:rPr>
        <w:t>9. Используемые библиотеки, компоненты и версии ПО (ТЗ §3.4 п.7)</w:t>
      </w:r>
      <w:r>
        <w:rPr>
          <w:sz w:val="22"/>
          <w:bdr w:val="dotted" w:sz="2" w:space="3" w:color="CCCCCC"/>
        </w:rPr>
        <w:t>Стр. 16</w:t>
      </w:r>
    </w:p>
    <w:p>
      <w:pPr>
        <w:pStyle w:val="BodyText"/>
        <w:bidi w:val="0"/>
        <w:spacing w:before="0" w:after="180"/>
        <w:ind w:hanging="0" w:left="0" w:right="0"/>
        <w:jc w:val="left"/>
        <w:rPr/>
      </w:pPr>
      <w:r>
        <w:rPr>
          <w:rStyle w:val="Strong"/>
          <w:sz w:val="22"/>
          <w:bdr w:val="dotted" w:sz="2" w:space="3" w:color="CCCCCC"/>
        </w:rPr>
        <w:t>10. Пошаговая инструкция по сборке и запуску (ТЗ §3.4 п.8)</w:t>
      </w:r>
      <w:r>
        <w:rPr>
          <w:sz w:val="22"/>
          <w:bdr w:val="dotted" w:sz="2" w:space="3" w:color="CCCCCC"/>
        </w:rPr>
        <w:t>Стр. 17</w:t>
      </w:r>
    </w:p>
    <w:p>
      <w:pPr>
        <w:pStyle w:val="Heading2"/>
        <w:bidi w:val="0"/>
        <w:ind w:hanging="0" w:left="0" w:right="0"/>
        <w:jc w:val="left"/>
        <w:rPr/>
      </w:pPr>
      <w:r>
        <w:rPr/>
        <w:t>1. Демо-стенд и экспресс-руководство для жюри (Live Production)</w:t>
      </w:r>
    </w:p>
    <w:p>
      <w:pPr>
        <w:pStyle w:val="BodyText"/>
        <w:bidi w:val="0"/>
        <w:jc w:val="left"/>
        <w:rPr/>
      </w:pPr>
      <w:r>
        <w:rPr/>
        <w:t xml:space="preserve">Решение развернуто на промышленном облачном сервере с публичным статическим IP-адресом </w:t>
      </w:r>
      <w:r>
        <w:rPr>
          <w:rStyle w:val="Strong"/>
        </w:rPr>
        <w:t>153.76.194.215</w:t>
      </w:r>
      <w:r>
        <w:rPr/>
        <w:t xml:space="preserve">. Доступ ко всем функциональным сервисам открыт круглосуточно без VPN и сторонних прокси. </w:t>
      </w:r>
    </w:p>
    <w:p>
      <w:pPr>
        <w:pStyle w:val="Heading3"/>
        <w:bidi w:val="0"/>
        <w:jc w:val="left"/>
        <w:rPr/>
      </w:pPr>
      <w:r>
        <w:rPr/>
        <w:t>Сводная таблица сетевых сервисов и портов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8"/>
        <w:gridCol w:w="1231"/>
        <w:gridCol w:w="1706"/>
        <w:gridCol w:w="7714"/>
      </w:tblGrid>
      <w:tr>
        <w:trPr>
          <w:tblHeader w:val="true"/>
        </w:trPr>
        <w:tc>
          <w:tcPr>
            <w:tcW w:w="688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Порт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Протокол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Сервис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Назначение и прямой URL</w:t>
            </w:r>
          </w:p>
        </w:tc>
      </w:tr>
      <w:tr>
        <w:trPr/>
        <w:tc>
          <w:tcPr>
            <w:tcW w:w="6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80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HTTP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Nginx Gateway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 xml:space="preserve">Клиентский веб-интерфейс (SPA), маршрутизация статики: </w:t>
            </w:r>
            <w:r>
              <w:rPr>
                <w:rStyle w:val="Style12"/>
              </w:rPr>
              <w:t>http://153.76.194.215</w:t>
            </w:r>
          </w:p>
        </w:tc>
      </w:tr>
      <w:tr>
        <w:trPr/>
        <w:tc>
          <w:tcPr>
            <w:tcW w:w="6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8000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HTTP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FastAPI Uvicorn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 xml:space="preserve">Бэкенд, интерактивная спецификация Swagger: </w:t>
            </w:r>
            <w:r>
              <w:rPr>
                <w:rStyle w:val="Style12"/>
              </w:rPr>
              <w:t>http://153.76.194.215/docs</w:t>
            </w:r>
          </w:p>
        </w:tc>
      </w:tr>
      <w:tr>
        <w:trPr/>
        <w:tc>
          <w:tcPr>
            <w:tcW w:w="6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8080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HTTP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Keycloak 26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 xml:space="preserve">IAM сервер ФСП ID, OIDC Realm: </w:t>
            </w:r>
            <w:r>
              <w:rPr>
                <w:rStyle w:val="Style12"/>
              </w:rPr>
              <w:t>http://153.76.194.215/auth/</w:t>
            </w:r>
          </w:p>
        </w:tc>
      </w:tr>
      <w:tr>
        <w:trPr/>
        <w:tc>
          <w:tcPr>
            <w:tcW w:w="68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5432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TCP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PostgreSQL 16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Реляционная БД платформы и схема Keycloak</w:t>
            </w:r>
          </w:p>
        </w:tc>
      </w:tr>
    </w:tbl>
    <w:p>
      <w:pPr>
        <w:pStyle w:val="Heading3"/>
        <w:bidi w:val="0"/>
        <w:jc w:val="left"/>
        <w:rPr/>
      </w:pPr>
      <w:r>
        <w:rPr/>
        <w:t>Матрица тестовых учетных записей (Credentials)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0"/>
        <w:gridCol w:w="1614"/>
        <w:gridCol w:w="2232"/>
        <w:gridCol w:w="5423"/>
      </w:tblGrid>
      <w:tr>
        <w:trPr>
          <w:tblHeader w:val="true"/>
        </w:trPr>
        <w:tc>
          <w:tcPr>
            <w:tcW w:w="2070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Роль / Персона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Логин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Пароль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Оцениваемый функционал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Соискатель с ФСП ID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athlete@fsp-russia.ru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fsp_secret_2026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Вход по кнопке «Войти через ФСП ID» (OIDC PKCE). Профиль КМС, FSP ID FSP-77-01042, рейтинг 1420 pts. Скачивание стандартизированного PDF-резюме.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Соискатель без ФСП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candidate@fsp-russia.ru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fsp_secret_2026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Демонстрация 100% равноправия. Формула недискриминации с переаллокацией весов на практический опыт.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Работодатель (HR)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hr@technobank.ru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fsp_secret_2026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Банк кандидатов, поиск по стеку и обязательной вилке ЗП в ₽, закрепление кандидатов (pin), радар Explainability, отправка офферов.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Администратор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admin@fsp-russia.ru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fsp_secret_2026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Журнал аудита 152-ФЗ демаскирования, симуляция вебхуков ATS, 1-клик сброс кулдауна тестирования.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Keycloak Admin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admin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admin_fsp_secret_2026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 xml:space="preserve">Консоль управления Realm: </w:t>
            </w:r>
            <w:r>
              <w:rPr>
                <w:rStyle w:val="Style12"/>
              </w:rPr>
              <w:t>http://153.76.194.215/auth/admin</w:t>
            </w:r>
          </w:p>
        </w:tc>
      </w:tr>
    </w:tbl>
    <w:p>
      <w:pPr>
        <w:pStyle w:val="BodyText"/>
        <w:bidi w:val="0"/>
        <w:spacing w:before="0" w:after="60"/>
        <w:ind w:hanging="0" w:left="270" w:right="270"/>
        <w:jc w:val="left"/>
        <w:rPr>
          <w:b/>
          <w:color w:val="402FFF"/>
          <w:sz w:val="21"/>
          <w:bdr w:val="single" w:sz="24" w:space="14" w:color="402FFF"/>
          <w:shd w:fill="F4F5FD" w:val="clear"/>
        </w:rPr>
      </w:pPr>
      <w:r>
        <w:rPr>
          <w:b/>
          <w:color w:val="402FFF"/>
          <w:sz w:val="21"/>
          <w:bdr w:val="single" w:sz="24" w:space="14" w:color="402FFF"/>
          <w:shd w:fill="F4F5FD" w:val="clear"/>
        </w:rPr>
        <w:t>Чеклист 5 ключевых шагов экспресс-проверки для эксперта жюри: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979" w:leader="none"/>
        </w:tabs>
        <w:bidi w:val="0"/>
        <w:spacing w:before="270" w:after="270"/>
        <w:ind w:hanging="283" w:left="979" w:right="270"/>
        <w:jc w:val="left"/>
        <w:rPr/>
      </w:pPr>
      <w:r>
        <w:rPr>
          <w:rStyle w:val="Strong"/>
          <w:sz w:val="21"/>
          <w:bdr w:val="single" w:sz="24" w:space="14" w:color="402FFF"/>
          <w:shd w:fill="F4F5FD" w:val="clear"/>
        </w:rPr>
        <w:t>Вход через ФСП ID:</w:t>
      </w:r>
      <w:r>
        <w:rPr>
          <w:sz w:val="21"/>
          <w:bdr w:val="single" w:sz="24" w:space="14" w:color="402FFF"/>
          <w:shd w:fill="F4F5FD" w:val="clear"/>
        </w:rPr>
        <w:t xml:space="preserve"> Откройте </w:t>
      </w:r>
      <w:r>
        <w:rPr>
          <w:rStyle w:val="Style12"/>
          <w:sz w:val="21"/>
          <w:bdr w:val="single" w:sz="24" w:space="14" w:color="402FFF"/>
          <w:shd w:fill="F4F5FD" w:val="clear"/>
        </w:rPr>
        <w:t>http://153.76.194.215/login</w:t>
      </w:r>
      <w:r>
        <w:rPr>
          <w:sz w:val="21"/>
          <w:bdr w:val="single" w:sz="24" w:space="14" w:color="402FFF"/>
          <w:shd w:fill="F4F5FD" w:val="clear"/>
        </w:rPr>
        <w:t xml:space="preserve">, нажмите «Войти через ФСП ID», введите </w:t>
      </w:r>
      <w:r>
        <w:rPr>
          <w:rStyle w:val="Style12"/>
          <w:sz w:val="21"/>
          <w:bdr w:val="single" w:sz="24" w:space="14" w:color="402FFF"/>
          <w:shd w:fill="F4F5FD" w:val="clear"/>
        </w:rPr>
        <w:t>athlete@fsp-russia.ru</w:t>
      </w:r>
      <w:r>
        <w:rPr>
          <w:sz w:val="21"/>
          <w:bdr w:val="single" w:sz="24" w:space="14" w:color="402FFF"/>
          <w:shd w:fill="F4F5FD" w:val="clear"/>
        </w:rPr>
        <w:t xml:space="preserve"> / </w:t>
      </w:r>
      <w:r>
        <w:rPr>
          <w:rStyle w:val="Style12"/>
          <w:sz w:val="21"/>
          <w:bdr w:val="single" w:sz="24" w:space="14" w:color="402FFF"/>
          <w:shd w:fill="F4F5FD" w:val="clear"/>
        </w:rPr>
        <w:t>fsp_secret_2026</w:t>
      </w:r>
      <w:r>
        <w:rPr>
          <w:sz w:val="21"/>
          <w:bdr w:val="single" w:sz="24" w:space="14" w:color="402FFF"/>
          <w:shd w:fill="F4F5FD" w:val="clear"/>
        </w:rPr>
        <w:t xml:space="preserve">. Происходит сквозная OIDC PKCE авторизация.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979" w:leader="none"/>
        </w:tabs>
        <w:bidi w:val="0"/>
        <w:spacing w:before="270" w:after="270"/>
        <w:ind w:hanging="283" w:left="979" w:right="270"/>
        <w:jc w:val="left"/>
        <w:rPr/>
      </w:pPr>
      <w:r>
        <w:rPr>
          <w:rStyle w:val="Strong"/>
          <w:sz w:val="21"/>
          <w:bdr w:val="single" w:sz="24" w:space="14" w:color="402FFF"/>
          <w:shd w:fill="F4F5FD" w:val="clear"/>
        </w:rPr>
        <w:t>Умный онбординг и PDF-парсинг:</w:t>
      </w:r>
      <w:r>
        <w:rPr>
          <w:sz w:val="21"/>
          <w:bdr w:val="single" w:sz="24" w:space="14" w:color="402FFF"/>
          <w:shd w:fill="F4F5FD" w:val="clear"/>
        </w:rPr>
        <w:t xml:space="preserve"> В разделе онбординга загрузите резюме — система автоматически распознает ФИО, контакты, опыт и стек из 350+ технологий.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979" w:leader="none"/>
        </w:tabs>
        <w:bidi w:val="0"/>
        <w:spacing w:before="270" w:after="270"/>
        <w:ind w:hanging="283" w:left="979" w:right="270"/>
        <w:jc w:val="left"/>
        <w:rPr/>
      </w:pPr>
      <w:r>
        <w:rPr>
          <w:rStyle w:val="Strong"/>
          <w:sz w:val="21"/>
          <w:bdr w:val="single" w:sz="24" w:space="14" w:color="402FFF"/>
          <w:shd w:fill="F4F5FD" w:val="clear"/>
        </w:rPr>
        <w:t>Тестирование KITE IRT 3PL:</w:t>
      </w:r>
      <w:r>
        <w:rPr>
          <w:sz w:val="21"/>
          <w:bdr w:val="single" w:sz="24" w:space="14" w:color="402FFF"/>
          <w:shd w:fill="F4F5FD" w:val="clear"/>
        </w:rPr>
        <w:t xml:space="preserve"> Пройдите тест из 12 изоморфных задач, сгенерированных через HMAC-SHA256, с некарательной байесовской оценкой способностей.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979" w:leader="none"/>
        </w:tabs>
        <w:bidi w:val="0"/>
        <w:spacing w:before="270" w:after="270"/>
        <w:ind w:hanging="283" w:left="979" w:right="270"/>
        <w:jc w:val="left"/>
        <w:rPr/>
      </w:pPr>
      <w:r>
        <w:rPr>
          <w:rStyle w:val="Strong"/>
          <w:sz w:val="21"/>
          <w:bdr w:val="single" w:sz="24" w:space="14" w:color="402FFF"/>
          <w:shd w:fill="F4F5FD" w:val="clear"/>
        </w:rPr>
        <w:t>Поиск талантов работодателем:</w:t>
      </w:r>
      <w:r>
        <w:rPr>
          <w:sz w:val="21"/>
          <w:bdr w:val="single" w:sz="24" w:space="14" w:color="402FFF"/>
          <w:shd w:fill="F4F5FD" w:val="clear"/>
        </w:rPr>
        <w:t xml:space="preserve"> Под аккаунтом </w:t>
      </w:r>
      <w:r>
        <w:rPr>
          <w:rStyle w:val="Style12"/>
          <w:sz w:val="21"/>
          <w:bdr w:val="single" w:sz="24" w:space="14" w:color="402FFF"/>
          <w:shd w:fill="F4F5FD" w:val="clear"/>
        </w:rPr>
        <w:t>hr@technobank.ru</w:t>
      </w:r>
      <w:r>
        <w:rPr>
          <w:sz w:val="21"/>
          <w:bdr w:val="single" w:sz="24" w:space="14" w:color="402FFF"/>
          <w:shd w:fill="F4F5FD" w:val="clear"/>
        </w:rPr>
        <w:t xml:space="preserve"> откройте Банк талантов, настройте фильтры с обязательной вилкой в ₽, оцените факторный радар соответствия и отправьте приглашение.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979" w:leader="none"/>
        </w:tabs>
        <w:bidi w:val="0"/>
        <w:spacing w:before="270" w:after="270"/>
        <w:ind w:hanging="283" w:left="979" w:right="270"/>
        <w:jc w:val="left"/>
        <w:rPr/>
      </w:pPr>
      <w:r>
        <w:rPr>
          <w:rStyle w:val="Strong"/>
          <w:sz w:val="21"/>
          <w:bdr w:val="single" w:sz="24" w:space="14" w:color="402FFF"/>
          <w:shd w:fill="F4F5FD" w:val="clear"/>
        </w:rPr>
        <w:t>Приватность 152-ФЗ РФ:</w:t>
      </w:r>
      <w:r>
        <w:rPr>
          <w:sz w:val="21"/>
          <w:bdr w:val="single" w:sz="24" w:space="14" w:color="402FFF"/>
          <w:shd w:fill="F4F5FD" w:val="clear"/>
        </w:rPr>
        <w:t xml:space="preserve"> В кабинете соискателя проверьте скрытие прямых контактов до взаимного согласия и скачивание машиночитаемого JSON-архива данных по ст. 14 152-ФЗ. </w:t>
      </w:r>
    </w:p>
    <w:p>
      <w:pPr>
        <w:pStyle w:val="Heading2"/>
        <w:bidi w:val="0"/>
        <w:ind w:hanging="0" w:left="0" w:right="0"/>
        <w:jc w:val="left"/>
        <w:rPr/>
      </w:pPr>
      <w:r>
        <w:rPr/>
        <w:t>2. Функциональная и компонентная архитектура решения (ТЗ §3.4 п.1)</w:t>
      </w:r>
    </w:p>
    <w:p>
      <w:pPr>
        <w:pStyle w:val="Heading3"/>
        <w:bidi w:val="0"/>
        <w:jc w:val="left"/>
        <w:rPr/>
      </w:pPr>
      <w:r>
        <w:rPr/>
        <w:t>2.1. Концепция обратного рекрутинга (Reverse-Recruiting / LHH)</w:t>
      </w:r>
    </w:p>
    <w:p>
      <w:pPr>
        <w:pStyle w:val="BodyText"/>
        <w:bidi w:val="0"/>
        <w:jc w:val="left"/>
        <w:rPr/>
      </w:pPr>
      <w:r>
        <w:rPr/>
        <w:t xml:space="preserve">Платформа исключает классическую неэффективную модель поиска по неструктурированным ключевым словам. Категория специалиста формируется объективно: </w:t>
      </w:r>
      <w:r>
        <w:rPr>
          <w:rStyle w:val="Strong"/>
        </w:rPr>
        <w:t>Категория = Специализация (Backend / Frontend / ML / DevOps / QA / InfoSec) + Подтвержденный грейд KITE IRT</w:t>
      </w:r>
      <w:r>
        <w:rPr/>
        <w:t xml:space="preserve">. Работодатель формулирует структурированную потребность команды и мгновенно получает верифицированную ранжированную подборку кандидатов. </w:t>
      </w:r>
    </w:p>
    <w:p>
      <w:pPr>
        <w:pStyle w:val="Heading3"/>
        <w:bidi w:val="0"/>
        <w:jc w:val="left"/>
        <w:rPr/>
      </w:pPr>
      <w:r>
        <w:rPr/>
        <w:t>2.2. Компонентное деление системы (C4 Architecture)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Client Presentation Tier (SPA):</w:t>
      </w:r>
      <w:r>
        <w:rPr/>
        <w:t xml:space="preserve"> React 19, TypeScript 5.8, Tailwind CSS v4, Zustand Store, Lucide Icons. Полностью адаптивный интерфейс с 35 маршрутами, встроенной поддержкой брендбука ФСП и локальными шрифтами JetBrains Mono / Montserrat.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API &amp; Business Logic Core:</w:t>
      </w:r>
      <w:r>
        <w:rPr/>
        <w:t xml:space="preserve"> FastAPI (Python 3.14 / 3.12), Pydantic v2, SQLAlchemy 2.0 (asyncio). Асинхронная обработка запросов, строгая типизация DTO, встроенный психометрический движок KITE и ATS-диспетчер.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Identity &amp; Access Management (IAM):</w:t>
      </w:r>
      <w:r>
        <w:rPr/>
        <w:t xml:space="preserve"> Keycloak 26 Quarkus. Корпоративный OIDC провайдер, реализация единого входа ФСП ID с поддержкой OAuth 2.0 Authorization Code Flow + PKCE S256, JWKS ротация ключей.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Data Persistence Layer:</w:t>
      </w:r>
      <w:r>
        <w:rPr/>
        <w:t xml:space="preserve"> PostgreSQL 16 Alpine. 25 реляционных таблиц, декларативные ограничения целостности (CHECK constraints на вилки ЗП и статус-машины), миграции версий схемы через Alembic.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Reverse Proxy &amp; Edge Ingress:</w:t>
      </w:r>
      <w:r>
        <w:rPr/>
        <w:t xml:space="preserve"> Nginx Alpine. Единая точка входа (порт 80), SSL/TLS терминация, кеширование статических ассетов, проксирование бэкенда и шлюза Keycloak. </w:t>
      </w:r>
    </w:p>
    <w:p>
      <w:pPr>
        <w:pStyle w:val="Heading3"/>
        <w:bidi w:val="0"/>
        <w:jc w:val="left"/>
        <w:rPr/>
      </w:pPr>
      <w:r>
        <w:rPr/>
        <w:t>2.3. Схема данных реляционной БД (25 таблиц)</w:t>
      </w:r>
    </w:p>
    <w:p>
      <w:pPr>
        <w:pStyle w:val="BodyText"/>
        <w:bidi w:val="0"/>
        <w:jc w:val="left"/>
        <w:rPr/>
      </w:pPr>
      <w:r>
        <w:rPr/>
        <w:t>Схема базы данных спроектирована в 3-й нормальной форме и разделена на логические домены: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Auth &amp; Users:</w:t>
      </w:r>
      <w:r>
        <w:rPr/>
        <w:t xml:space="preserve"> </w:t>
      </w:r>
      <w:r>
        <w:rPr>
          <w:rStyle w:val="Style12"/>
        </w:rPr>
        <w:t>users</w:t>
      </w:r>
      <w:r>
        <w:rPr/>
        <w:t xml:space="preserve">, </w:t>
      </w:r>
      <w:r>
        <w:rPr>
          <w:rStyle w:val="Style12"/>
        </w:rPr>
        <w:t>roles</w:t>
      </w:r>
      <w:r>
        <w:rPr/>
        <w:t xml:space="preserve">, </w:t>
      </w:r>
      <w:r>
        <w:rPr>
          <w:rStyle w:val="Style12"/>
        </w:rPr>
        <w:t>user_roles</w:t>
      </w:r>
      <w:r>
        <w:rPr/>
        <w:t xml:space="preserve">, </w:t>
      </w:r>
      <w:r>
        <w:rPr>
          <w:rStyle w:val="Style12"/>
        </w:rPr>
        <w:t>audit_logs</w:t>
      </w:r>
      <w:r>
        <w:rPr/>
        <w:t xml:space="preserve"> (журнал 152-ФЗ), </w:t>
      </w:r>
      <w:r>
        <w:rPr>
          <w:rStyle w:val="Style12"/>
        </w:rPr>
        <w:t>refresh_tokens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Profiles:</w:t>
      </w:r>
      <w:r>
        <w:rPr/>
        <w:t xml:space="preserve"> </w:t>
      </w:r>
      <w:r>
        <w:rPr>
          <w:rStyle w:val="Style12"/>
        </w:rPr>
        <w:t>candidate_profiles</w:t>
      </w:r>
      <w:r>
        <w:rPr/>
        <w:t xml:space="preserve">, </w:t>
      </w:r>
      <w:r>
        <w:rPr>
          <w:rStyle w:val="Style12"/>
        </w:rPr>
        <w:t>employer_profiles</w:t>
      </w:r>
      <w:r>
        <w:rPr/>
        <w:t xml:space="preserve">, </w:t>
      </w:r>
      <w:r>
        <w:rPr>
          <w:rStyle w:val="Style12"/>
        </w:rPr>
        <w:t>candidate_consents</w:t>
      </w:r>
      <w:r>
        <w:rPr/>
        <w:t xml:space="preserve">, </w:t>
      </w:r>
      <w:r>
        <w:rPr>
          <w:rStyle w:val="Style12"/>
        </w:rPr>
        <w:t>fsp_profiles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Competencies &amp; Taxonomy:</w:t>
      </w:r>
      <w:r>
        <w:rPr/>
        <w:t xml:space="preserve"> </w:t>
      </w:r>
      <w:r>
        <w:rPr>
          <w:rStyle w:val="Style12"/>
        </w:rPr>
        <w:t>specializations</w:t>
      </w:r>
      <w:r>
        <w:rPr/>
        <w:t xml:space="preserve">, </w:t>
      </w:r>
      <w:r>
        <w:rPr>
          <w:rStyle w:val="Style12"/>
        </w:rPr>
        <w:t>grades</w:t>
      </w:r>
      <w:r>
        <w:rPr/>
        <w:t xml:space="preserve">, </w:t>
      </w:r>
      <w:r>
        <w:rPr>
          <w:rStyle w:val="Style12"/>
        </w:rPr>
        <w:t>categories</w:t>
      </w:r>
      <w:r>
        <w:rPr/>
        <w:t xml:space="preserve">, </w:t>
      </w:r>
      <w:r>
        <w:rPr>
          <w:rStyle w:val="Style12"/>
        </w:rPr>
        <w:t>skills</w:t>
      </w:r>
      <w:r>
        <w:rPr/>
        <w:t xml:space="preserve">, </w:t>
      </w:r>
      <w:r>
        <w:rPr>
          <w:rStyle w:val="Style12"/>
        </w:rPr>
        <w:t>candidate_skills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Assessment Engine:</w:t>
      </w:r>
      <w:r>
        <w:rPr/>
        <w:t xml:space="preserve"> </w:t>
      </w:r>
      <w:r>
        <w:rPr>
          <w:rStyle w:val="Style12"/>
        </w:rPr>
        <w:t>canonical_item_families</w:t>
      </w:r>
      <w:r>
        <w:rPr/>
        <w:t xml:space="preserve">, </w:t>
      </w:r>
      <w:r>
        <w:rPr>
          <w:rStyle w:val="Style12"/>
        </w:rPr>
        <w:t>assessment_sessions</w:t>
      </w:r>
      <w:r>
        <w:rPr/>
        <w:t xml:space="preserve">, </w:t>
      </w:r>
      <w:r>
        <w:rPr>
          <w:rStyle w:val="Style12"/>
        </w:rPr>
        <w:t>assessment_answers</w:t>
      </w:r>
      <w:r>
        <w:rPr/>
        <w:t xml:space="preserve">, </w:t>
      </w:r>
      <w:r>
        <w:rPr>
          <w:rStyle w:val="Style12"/>
        </w:rPr>
        <w:t>candidate_categorizations</w:t>
      </w:r>
      <w:r>
        <w:rPr/>
        <w:t xml:space="preserve">, </w:t>
      </w:r>
      <w:r>
        <w:rPr>
          <w:rStyle w:val="Style12"/>
        </w:rPr>
        <w:t>micro_challenges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Recruitment Matching:</w:t>
      </w:r>
      <w:r>
        <w:rPr/>
        <w:t xml:space="preserve"> </w:t>
      </w:r>
      <w:r>
        <w:rPr>
          <w:rStyle w:val="Style12"/>
        </w:rPr>
        <w:t>employer_needs</w:t>
      </w:r>
      <w:r>
        <w:rPr/>
        <w:t xml:space="preserve">, </w:t>
      </w:r>
      <w:r>
        <w:rPr>
          <w:rStyle w:val="Style12"/>
        </w:rPr>
        <w:t>vacancies</w:t>
      </w:r>
      <w:r>
        <w:rPr/>
        <w:t xml:space="preserve">, </w:t>
      </w:r>
      <w:r>
        <w:rPr>
          <w:rStyle w:val="Style12"/>
        </w:rPr>
        <w:t>shortlists</w:t>
      </w:r>
      <w:r>
        <w:rPr/>
        <w:t xml:space="preserve">, </w:t>
      </w:r>
      <w:r>
        <w:rPr>
          <w:rStyle w:val="Style12"/>
        </w:rPr>
        <w:t>shortlist_candidates</w:t>
      </w:r>
      <w:r>
        <w:rPr/>
        <w:t xml:space="preserve">, </w:t>
      </w:r>
      <w:r>
        <w:rPr>
          <w:rStyle w:val="Style12"/>
        </w:rPr>
        <w:t>invitations</w:t>
      </w:r>
      <w:r>
        <w:rPr/>
        <w:t xml:space="preserve">, </w:t>
      </w:r>
      <w:r>
        <w:rPr>
          <w:rStyle w:val="Style12"/>
        </w:rPr>
        <w:t>ats_webhooks</w:t>
      </w:r>
      <w:r>
        <w:rPr/>
        <w:t xml:space="preserve">, </w:t>
      </w:r>
      <w:r>
        <w:rPr>
          <w:rStyle w:val="Style12"/>
        </w:rPr>
        <w:t>ats_deliveries</w:t>
      </w:r>
      <w:r>
        <w:rPr/>
        <w:t xml:space="preserve">. </w:t>
      </w:r>
    </w:p>
    <w:p>
      <w:pPr>
        <w:pStyle w:val="Heading2"/>
        <w:bidi w:val="0"/>
        <w:ind w:hanging="0" w:left="0" w:right="0"/>
        <w:jc w:val="left"/>
        <w:rPr/>
      </w:pPr>
      <w:r>
        <w:rPr/>
        <w:t>3. Психометрический движок KITE IRT 3PL и защита от утечек (ТЗ §3.4 п.2)</w:t>
      </w:r>
    </w:p>
    <w:p>
      <w:pPr>
        <w:pStyle w:val="Heading3"/>
        <w:bidi w:val="0"/>
        <w:jc w:val="left"/>
        <w:rPr/>
      </w:pPr>
      <w:r>
        <w:rPr/>
        <w:t>3.1. Трехпараметрическая логистическая модель Бирнбаума (3PL IRT)</w:t>
      </w:r>
    </w:p>
    <w:p>
      <w:pPr>
        <w:pStyle w:val="BodyText"/>
        <w:bidi w:val="0"/>
        <w:jc w:val="left"/>
        <w:rPr/>
      </w:pPr>
      <w:r>
        <w:rPr/>
        <w:t xml:space="preserve">Вероятность успешного решения кандидатом с латентным уровнем способностей θ задания </w:t>
      </w:r>
      <w:r>
        <w:rPr>
          <w:rStyle w:val="Emphasis"/>
        </w:rPr>
        <w:t>i</w:t>
      </w:r>
      <w:r>
        <w:rPr/>
        <w:t xml:space="preserve"> описывается функцией отклика (Item Response Function): </w:t>
      </w:r>
    </w:p>
    <w:p>
      <w:pPr>
        <w:pStyle w:val="Style19"/>
        <w:bidi w:val="0"/>
        <w:jc w:val="left"/>
        <w:rPr/>
      </w:pPr>
      <w:r>
        <w:rPr/>
        <w:t>P_i(θ) = c_i + (1 - c_i) / (1 + exp(-1.702 * a_i * (θ - b_i)))</w:t>
      </w:r>
    </w:p>
    <w:p>
      <w:pPr>
        <w:pStyle w:val="BodyText"/>
        <w:bidi w:val="0"/>
        <w:jc w:val="left"/>
        <w:rPr/>
      </w:pPr>
      <w:r>
        <w:rPr/>
        <w:t>где: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a_i &amp;in; [0.8, 2.2]</w:t>
      </w:r>
      <w:r>
        <w:rPr/>
        <w:t xml:space="preserve"> — дискриминативность (дифференцирующая сила задания);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b_i &amp;in; [-2.5, +2.5]</w:t>
      </w:r>
      <w:r>
        <w:rPr/>
        <w:t xml:space="preserve"> — сложность задания в единицах логитов;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yle12"/>
        </w:rPr>
        <w:t>c_i &amp;approx; 0.20</w:t>
      </w:r>
      <w:r>
        <w:rPr/>
        <w:t xml:space="preserve"> — псевдо-случайное угадывание (для заданий с выбором из 4-5 вариантов). </w:t>
      </w:r>
    </w:p>
    <w:p>
      <w:pPr>
        <w:pStyle w:val="Heading3"/>
        <w:bidi w:val="0"/>
        <w:jc w:val="left"/>
        <w:rPr/>
      </w:pPr>
      <w:r>
        <w:rPr/>
        <w:t>3.2. Байесовская оценка способностей EAP (Expected A Posteriori)</w:t>
      </w:r>
    </w:p>
    <w:p>
      <w:pPr>
        <w:pStyle w:val="BodyText"/>
        <w:bidi w:val="0"/>
        <w:jc w:val="left"/>
        <w:rPr/>
      </w:pPr>
      <w:r>
        <w:rPr/>
        <w:t xml:space="preserve">Оценка латентного уровня θ вычисляется квадратурным интегрированием по сетке из 61 узла на отрезке [-4.0; +4.0] с априорным стандартным нормальным распределением </w:t>
      </w:r>
      <w:r>
        <w:rPr>
          <w:rStyle w:val="Emphasis"/>
        </w:rPr>
        <w:t>N(0, 1)</w:t>
      </w:r>
      <w:r>
        <w:rPr/>
        <w:t xml:space="preserve">: </w:t>
      </w:r>
    </w:p>
    <w:p>
      <w:pPr>
        <w:pStyle w:val="Style19"/>
        <w:bidi w:val="0"/>
        <w:jc w:val="left"/>
        <w:rPr/>
      </w:pPr>
      <w:r>
        <w:rPr/>
        <w:t>θ_EAP = ∫ θ * L(X|θ) * φ(θ) dθ / ∫ L(X|θ) * φ(θ) dθ</w:t>
      </w:r>
    </w:p>
    <w:p>
      <w:pPr>
        <w:pStyle w:val="BodyText"/>
        <w:bidi w:val="0"/>
        <w:jc w:val="left"/>
        <w:rPr/>
      </w:pPr>
      <w:r>
        <w:rPr/>
        <w:t xml:space="preserve">Платформа гарантирует стабильную стандартную ошибку измерения </w:t>
      </w:r>
      <w:r>
        <w:rPr>
          <w:rStyle w:val="Strong"/>
        </w:rPr>
        <w:t>SEM ≤ 0.32</w:t>
      </w:r>
      <w:r>
        <w:rPr/>
        <w:t xml:space="preserve"> на границах грейдов за счет функции информации Фишера </w:t>
      </w:r>
      <w:r>
        <w:rPr>
          <w:rStyle w:val="Emphasis"/>
        </w:rPr>
        <w:t>I(θ) ≥ 10.0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3.3. Защита от распространения заданий (HMAC-SHA256 Изоморфизм)</w:t>
      </w:r>
    </w:p>
    <w:p>
      <w:pPr>
        <w:pStyle w:val="BodyText"/>
        <w:bidi w:val="0"/>
        <w:jc w:val="left"/>
        <w:rPr/>
      </w:pPr>
      <w:r>
        <w:rPr/>
        <w:t xml:space="preserve">Каждое задание динамически мутирует при выдаче: текст, числовые константы, структуры данных и тесты детерминированно вычисляются на основе криптографического сида: </w:t>
      </w:r>
    </w:p>
    <w:p>
      <w:pPr>
        <w:pStyle w:val="Style19"/>
        <w:bidi w:val="0"/>
        <w:jc w:val="left"/>
        <w:rPr/>
      </w:pPr>
      <w:r>
        <w:rPr/>
        <w:t>seed = HMAC-SHA256(candidate_id, session_id, item_family_id)</w:t>
      </w:r>
    </w:p>
    <w:p>
      <w:pPr>
        <w:pStyle w:val="BodyText"/>
        <w:bidi w:val="0"/>
        <w:jc w:val="left"/>
        <w:rPr/>
      </w:pPr>
      <w:r>
        <w:rPr/>
        <w:t xml:space="preserve">Даже если кандидаты сдают тестирование одновременно в одной аудитории, каждый получает уникальный вариант задачи при сохранении строгой математической калибровки IRT. </w:t>
      </w:r>
    </w:p>
    <w:p>
      <w:pPr>
        <w:pStyle w:val="Heading3"/>
        <w:bidi w:val="0"/>
        <w:jc w:val="left"/>
        <w:rPr/>
      </w:pPr>
      <w:r>
        <w:rPr/>
        <w:t>3.4. Непринудительный грейдинг и защита от даунгрейда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θ &lt; 70.0</w:t>
      </w:r>
      <w:r>
        <w:rPr/>
        <w:t xml:space="preserve"> — заявленный грейд не подтвержден. Принудительного понижения нет. Кандидату сразу доступен ретест на грейд ниже без 90-дневного кулдауна.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70.0 ≤ θ &lt; 88.0</w:t>
      </w:r>
      <w:r>
        <w:rPr/>
        <w:t xml:space="preserve"> — успешное подтверждение грейда с установкой стандартного 90-дневного кулдауна.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yle12"/>
        </w:rPr>
        <w:t>θ ≥ 88.0</w:t>
      </w:r>
      <w:r>
        <w:rPr/>
        <w:t xml:space="preserve"> — подтверждение грейда с отличием и предложение риск-фри буст-теста на следующий грейд (Senior/Lead) без риска потери подтвержденного уровня. </w:t>
      </w:r>
    </w:p>
    <w:p>
      <w:pPr>
        <w:pStyle w:val="Heading2"/>
        <w:bidi w:val="0"/>
        <w:ind w:hanging="0" w:left="0" w:right="0"/>
        <w:jc w:val="left"/>
        <w:rPr/>
      </w:pPr>
      <w:r>
        <w:rPr/>
        <w:t>4. Механика подбора, ранжирования и категоризации (ТЗ §3.4 п.3)</w:t>
      </w:r>
    </w:p>
    <w:p>
      <w:pPr>
        <w:pStyle w:val="Heading3"/>
        <w:bidi w:val="0"/>
        <w:jc w:val="left"/>
        <w:rPr/>
      </w:pPr>
      <w:r>
        <w:rPr/>
        <w:t>4.1. Мультифакторная формула ранжирования</w:t>
      </w:r>
    </w:p>
    <w:p>
      <w:pPr>
        <w:pStyle w:val="BodyText"/>
        <w:bidi w:val="0"/>
        <w:jc w:val="left"/>
        <w:rPr/>
      </w:pPr>
      <w:r>
        <w:rPr/>
        <w:t xml:space="preserve">Финальный рейтинг соответствия кандидата потребности работодателя вычисляется как взвешенная сумма 4 нормализованных субиндексов [0..100]: </w:t>
      </w:r>
    </w:p>
    <w:p>
      <w:pPr>
        <w:pStyle w:val="Style19"/>
        <w:bidi w:val="0"/>
        <w:jc w:val="left"/>
        <w:rPr/>
      </w:pPr>
      <w:r>
        <w:rPr/>
        <w:t>Score = w_test * S_test + w_stack * S_stack + w_fsp * S_fsp + w_freshness * S_freshness</w:t>
      </w:r>
    </w:p>
    <w:p>
      <w:pPr>
        <w:pStyle w:val="Heading3"/>
        <w:bidi w:val="0"/>
        <w:jc w:val="left"/>
        <w:rPr/>
      </w:pPr>
      <w:r>
        <w:rPr/>
        <w:t>4.2. Математическая гарантия недискриминации соискателей без ФСП</w:t>
      </w:r>
    </w:p>
    <w:p>
      <w:pPr>
        <w:pStyle w:val="BodyText"/>
        <w:bidi w:val="0"/>
        <w:jc w:val="left"/>
        <w:rPr/>
      </w:pPr>
      <w:r>
        <w:rPr/>
        <w:t xml:space="preserve">Для обеспечения равных карьерных возможностей кандидатам без спортивного прошлого платформа применяет адаптивную ребалансировку весов формулы: 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56"/>
        <w:gridCol w:w="2316"/>
        <w:gridCol w:w="4167"/>
      </w:tblGrid>
      <w:tr>
        <w:trPr>
          <w:tblHeader w:val="true"/>
        </w:trPr>
        <w:tc>
          <w:tcPr>
            <w:tcW w:w="4856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Фактор оценки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Вес с историей ФСП</w:t>
            </w:r>
          </w:p>
        </w:tc>
        <w:tc>
          <w:tcPr>
            <w:tcW w:w="4167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Вес без истории ФСП (Равноправие)</w:t>
            </w:r>
          </w:p>
        </w:tc>
      </w:tr>
      <w:tr>
        <w:trPr/>
        <w:tc>
          <w:tcPr>
            <w:tcW w:w="485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Алгоритмический тест KITE (S_test)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0.40</w:t>
            </w:r>
          </w:p>
        </w:tc>
        <w:tc>
          <w:tcPr>
            <w:tcW w:w="416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0.52</w:t>
            </w:r>
            <w:r>
              <w:rPr/>
              <w:t xml:space="preserve"> (перераспределен)</w:t>
            </w:r>
          </w:p>
        </w:tc>
      </w:tr>
      <w:tr>
        <w:trPr/>
        <w:tc>
          <w:tcPr>
            <w:tcW w:w="485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Стек коммерческих технологий (S_stack)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0.25</w:t>
            </w:r>
          </w:p>
        </w:tc>
        <w:tc>
          <w:tcPr>
            <w:tcW w:w="416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0.30</w:t>
            </w:r>
            <w:r>
              <w:rPr/>
              <w:t xml:space="preserve"> (перераспределен)</w:t>
            </w:r>
          </w:p>
        </w:tc>
      </w:tr>
      <w:tr>
        <w:trPr/>
        <w:tc>
          <w:tcPr>
            <w:tcW w:w="485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Спортивный рейтинг ФСП (S_fsp)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0.20</w:t>
            </w:r>
          </w:p>
        </w:tc>
        <w:tc>
          <w:tcPr>
            <w:tcW w:w="416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0.00</w:t>
            </w:r>
            <w:r>
              <w:rPr/>
              <w:t xml:space="preserve"> (исключен без штрафа)</w:t>
            </w:r>
          </w:p>
        </w:tc>
      </w:tr>
      <w:tr>
        <w:trPr/>
        <w:tc>
          <w:tcPr>
            <w:tcW w:w="485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Свежесть профиля и активность (S_freshness)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0.15</w:t>
            </w:r>
          </w:p>
        </w:tc>
        <w:tc>
          <w:tcPr>
            <w:tcW w:w="416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0.18</w:t>
            </w:r>
            <w:r>
              <w:rPr/>
              <w:t xml:space="preserve"> (перераспределен)</w:t>
            </w:r>
          </w:p>
        </w:tc>
      </w:tr>
      <w:tr>
        <w:trPr/>
        <w:tc>
          <w:tcPr>
            <w:tcW w:w="485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Сумма весов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1.00</w:t>
            </w:r>
          </w:p>
        </w:tc>
        <w:tc>
          <w:tcPr>
            <w:tcW w:w="416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1.00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4.3. Сохранение подборки при уточнении критериев (is_pinned)</w:t>
      </w:r>
    </w:p>
    <w:p>
      <w:pPr>
        <w:pStyle w:val="BodyText"/>
        <w:bidi w:val="0"/>
        <w:jc w:val="left"/>
        <w:rPr/>
      </w:pPr>
      <w:r>
        <w:rPr/>
        <w:t xml:space="preserve">При изменении фильтров работодателем кандидаты, добавленные в шортлист или помеченные флагом </w:t>
      </w:r>
      <w:r>
        <w:rPr>
          <w:rStyle w:val="Style12"/>
        </w:rPr>
        <w:t>is_pinned</w:t>
      </w:r>
      <w:r>
        <w:rPr/>
        <w:t xml:space="preserve">, гарантированно остаются в рабочей выдаче с пересчетом дельты соответствия (ΔScore), предотвращая потерю релевантных талантов. </w:t>
      </w:r>
    </w:p>
    <w:p>
      <w:pPr>
        <w:pStyle w:val="Heading2"/>
        <w:bidi w:val="0"/>
        <w:ind w:hanging="0" w:left="0" w:right="0"/>
        <w:jc w:val="left"/>
        <w:rPr/>
      </w:pPr>
      <w:r>
        <w:rPr/>
        <w:t>5. Процедура валидации решения и результаты бенчмарка (ТЗ §3.4 п.4)</w:t>
      </w:r>
    </w:p>
    <w:p>
      <w:pPr>
        <w:pStyle w:val="BodyText"/>
        <w:bidi w:val="0"/>
        <w:jc w:val="left"/>
        <w:rPr/>
      </w:pPr>
      <w:r>
        <w:rPr/>
        <w:t xml:space="preserve">В соответствии с п. 2 ТЗ («команда предлагает собственную процедуру оценки своего решения и приводит результаты»), разработан и выполнен синтетический Golden Validation Benchmark: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Объем валидационной матрицы:</w:t>
      </w:r>
      <w:r>
        <w:rPr/>
        <w:t xml:space="preserve"> 60 структурированных потребностей работодателей × 15 кандидатов = </w:t>
      </w:r>
      <w:r>
        <w:rPr>
          <w:rStyle w:val="Strong"/>
        </w:rPr>
        <w:t>900 валидационных пар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Охват специализаций:</w:t>
      </w:r>
      <w:r>
        <w:rPr/>
        <w:t xml:space="preserve"> Backend, Frontend, ML/Data Science, DevOps, QA Automation, Information Security. </w:t>
      </w:r>
    </w:p>
    <w:p>
      <w:pPr>
        <w:pStyle w:val="Heading3"/>
        <w:bidi w:val="0"/>
        <w:jc w:val="left"/>
        <w:rPr/>
      </w:pPr>
      <w:r>
        <w:rPr/>
        <w:t>Результаты валидационного бенчмарка</w:t>
      </w:r>
    </w:p>
    <w:tbl>
      <w:tblPr>
        <w:tblW w:w="1066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5"/>
        <w:gridCol w:w="2892"/>
        <w:gridCol w:w="3306"/>
        <w:gridCol w:w="1852"/>
      </w:tblGrid>
      <w:tr>
        <w:trPr>
          <w:tblHeader w:val="true"/>
        </w:trPr>
        <w:tc>
          <w:tcPr>
            <w:tcW w:w="2615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Метрика качества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Фактический результат</w:t>
            </w:r>
          </w:p>
        </w:tc>
        <w:tc>
          <w:tcPr>
            <w:tcW w:w="3306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Нормативный порог ТЗ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Статус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Mean NDCG@5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0.9911</w:t>
            </w:r>
          </w:p>
        </w:tc>
        <w:tc>
          <w:tcPr>
            <w:tcW w:w="330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0.8500 (Target ≥ 0.9200)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Успешно (PASS)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Mean NDCG@10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0.9917</w:t>
            </w:r>
          </w:p>
        </w:tc>
        <w:tc>
          <w:tcPr>
            <w:tcW w:w="330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0.8800 (Target ≥ 0.9000)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Успешно (PASS)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Precision@5 (P@5)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0.9333</w:t>
            </w:r>
          </w:p>
        </w:tc>
        <w:tc>
          <w:tcPr>
            <w:tcW w:w="330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0.8000 (Target ≥ 0.8800)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Успешно (PASS)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Test-Retest Reliability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0.9856</w:t>
            </w:r>
          </w:p>
        </w:tc>
        <w:tc>
          <w:tcPr>
            <w:tcW w:w="330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0.8500 (Agreement ≥ 0.9000)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Успешно (PASS)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Item Discrimination D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0.5162</w:t>
            </w:r>
          </w:p>
        </w:tc>
        <w:tc>
          <w:tcPr>
            <w:tcW w:w="330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0.3000 (Target ≥ 0.4500)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Успешно (PASS)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Leak Resistance Index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0.9715</w:t>
            </w:r>
          </w:p>
        </w:tc>
        <w:tc>
          <w:tcPr>
            <w:tcW w:w="330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0.8500 (Target ≥ 0.9500)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Успешно (PASS)</w:t>
            </w:r>
          </w:p>
        </w:tc>
      </w:tr>
    </w:tbl>
    <w:p>
      <w:pPr>
        <w:pStyle w:val="BodyText"/>
        <w:bidi w:val="0"/>
        <w:spacing w:before="270" w:after="270"/>
        <w:ind w:hanging="0" w:left="270" w:right="270"/>
        <w:jc w:val="left"/>
        <w:rPr>
          <w:sz w:val="21"/>
          <w:bdr w:val="single" w:sz="24" w:space="14" w:color="402FFF"/>
          <w:shd w:fill="F4F5FD" w:val="clear"/>
        </w:rPr>
      </w:pPr>
      <w:r>
        <w:rPr>
          <w:sz w:val="21"/>
          <w:bdr w:val="single" w:sz="24" w:space="14" w:color="402FFF"/>
          <w:shd w:fill="F4F5FD" w:val="clear"/>
        </w:rPr>
        <w:t xml:space="preserve">Все 6 ключевых метрик валидации преодолели контрольные пороги качества с нулевым дефицитом (Quality Gate 100% Passed). </w:t>
      </w:r>
    </w:p>
    <w:p>
      <w:pPr>
        <w:pStyle w:val="Heading2"/>
        <w:bidi w:val="0"/>
        <w:ind w:hanging="0" w:left="0" w:right="0"/>
        <w:jc w:val="left"/>
        <w:rPr/>
      </w:pPr>
      <w:r>
        <w:rPr/>
        <w:t>6. Схема интеграции с реестром ФСП (ТЗ §3.4 п.5)</w:t>
      </w:r>
    </w:p>
    <w:p>
      <w:pPr>
        <w:pStyle w:val="BodyText"/>
        <w:bidi w:val="0"/>
        <w:jc w:val="left"/>
        <w:rPr/>
      </w:pPr>
      <w:r>
        <w:rPr/>
        <w:t xml:space="preserve">Интеграция с сервисами Федерации спортивного программирования реализована на базе открытых стандартов OIDC / OAuth 2.0 PKCE через сервер единой авторизации Keycloak 26: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Клиентский протокол:</w:t>
      </w:r>
      <w:r>
        <w:rPr/>
        <w:t xml:space="preserve"> OAuth 2.0 Authorization Code Flow с Proof Key for Code Exchange (PKCE S256). Исключает передачу client_secret в SPA-приложение.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Протокол-мапперы Realm:</w:t>
      </w:r>
      <w:r>
        <w:rPr/>
        <w:t xml:space="preserve"> пользовательский токен ID Token и Access Token обогащаются клеймами: </w:t>
      </w:r>
    </w:p>
    <w:p>
      <w:pPr>
        <w:pStyle w:val="BodyText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yle12"/>
        </w:rPr>
        <w:t>fsp_id</w:t>
      </w:r>
      <w:r>
        <w:rPr/>
        <w:t xml:space="preserve"> — уникальный идентификатор спортсмена в реестре ФСП (например, </w:t>
      </w:r>
      <w:r>
        <w:rPr>
          <w:rStyle w:val="Style12"/>
        </w:rPr>
        <w:t>FSP-77-01042</w:t>
      </w:r>
      <w:r>
        <w:rPr/>
        <w:t xml:space="preserve">); </w:t>
      </w:r>
    </w:p>
    <w:p>
      <w:pPr>
        <w:pStyle w:val="BodyText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yle12"/>
        </w:rPr>
        <w:t>fsp_rank</w:t>
      </w:r>
      <w:r>
        <w:rPr/>
        <w:t xml:space="preserve"> — спортивный разряд (КМС, МС, 1-й разряд); </w:t>
      </w:r>
    </w:p>
    <w:p>
      <w:pPr>
        <w:pStyle w:val="BodyText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yle12"/>
        </w:rPr>
        <w:t>fsp_rating</w:t>
      </w:r>
      <w:r>
        <w:rPr/>
        <w:t xml:space="preserve"> — официальный рейтинг в баллах; </w:t>
      </w:r>
    </w:p>
    <w:p>
      <w:pPr>
        <w:pStyle w:val="BodyText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yle12"/>
        </w:rPr>
        <w:t>fsp_discipline</w:t>
      </w:r>
      <w:r>
        <w:rPr/>
        <w:t xml:space="preserve"> — спортивная дисциплина (программирование алгоритмическое, продуктовое, робототехника).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Верификация на бэкенде:</w:t>
      </w:r>
      <w:r>
        <w:rPr/>
        <w:t xml:space="preserve"> FastAPI валидирует криптографическую подпись токена через JWKS-эндпоинт Keycloak (алгоритм RS256) без прямых сетевых вызовов на каждый HTTP-запрос. </w:t>
      </w:r>
    </w:p>
    <w:p>
      <w:pPr>
        <w:pStyle w:val="Heading2"/>
        <w:bidi w:val="0"/>
        <w:ind w:hanging="0" w:left="0" w:right="0"/>
        <w:jc w:val="left"/>
        <w:rPr/>
      </w:pPr>
      <w:r>
        <w:rPr/>
        <w:t>7. Защита персональных данных (152-ФЗ РФ) и прозрачность зарплат</w:t>
      </w:r>
    </w:p>
    <w:p>
      <w:pPr>
        <w:pStyle w:val="Heading3"/>
        <w:bidi w:val="0"/>
        <w:jc w:val="left"/>
        <w:rPr/>
      </w:pPr>
      <w:r>
        <w:rPr/>
        <w:t>7.1. Сквозное маскирование контактных данных</w:t>
      </w:r>
    </w:p>
    <w:p>
      <w:pPr>
        <w:pStyle w:val="BodyText"/>
        <w:bidi w:val="0"/>
        <w:jc w:val="left"/>
        <w:rPr/>
      </w:pPr>
      <w:r>
        <w:rPr/>
        <w:t xml:space="preserve">В соответствии с Федеральным законом № 152-ФЗ прямые контакты кандидата (телефон, email, telegram, github, оригинальный PDF-файл) физически исключаются из ответов публичного API Банка талантов. Работодатель видит анонимизированный идентификатор: </w:t>
      </w:r>
      <w:r>
        <w:rPr>
          <w:rStyle w:val="Style12"/>
        </w:rPr>
        <w:t>Алексей К. (#C-1042)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 xml:space="preserve">Контакты раскрываются работодателю </w:t>
      </w:r>
      <w:r>
        <w:rPr>
          <w:rStyle w:val="Strong"/>
        </w:rPr>
        <w:t>исключительно после явного акцепта</w:t>
      </w:r>
      <w:r>
        <w:rPr/>
        <w:t>: принятия кандидатом приглашения (</w:t>
      </w:r>
      <w:r>
        <w:rPr>
          <w:rStyle w:val="Style12"/>
        </w:rPr>
        <w:t>status = 'accepted'</w:t>
      </w:r>
      <w:r>
        <w:rPr/>
        <w:t xml:space="preserve">) либо самостоятельного отклика на вакансию. </w:t>
      </w:r>
    </w:p>
    <w:p>
      <w:pPr>
        <w:pStyle w:val="Heading3"/>
        <w:bidi w:val="0"/>
        <w:jc w:val="left"/>
        <w:rPr/>
      </w:pPr>
      <w:r>
        <w:rPr/>
        <w:t>7.2. Раздельные согласия и аудит обращений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Раздельные юридические согласия по ст. 9 (обработка ПДн) и ст. 10.1 (распространение ПДн) 152-ФЗ РФ.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Полный аудит каждого факта демаскирования и скачивания полного PDF-резюме в таблице </w:t>
      </w:r>
      <w:r>
        <w:rPr>
          <w:rStyle w:val="Style12"/>
        </w:rPr>
        <w:t>audit_logs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Экспорт всех персональных данных соискателя в машиночитаемом формате JSON по ст. 14 152-ФЗ. </w:t>
      </w:r>
    </w:p>
    <w:p>
      <w:pPr>
        <w:pStyle w:val="Heading3"/>
        <w:bidi w:val="0"/>
        <w:jc w:val="left"/>
        <w:rPr/>
      </w:pPr>
      <w:r>
        <w:rPr/>
        <w:t>7.3. Обязательная зарплатная вилка в рублях</w:t>
      </w:r>
    </w:p>
    <w:p>
      <w:pPr>
        <w:pStyle w:val="BodyText"/>
        <w:bidi w:val="0"/>
        <w:jc w:val="left"/>
        <w:rPr/>
      </w:pPr>
      <w:r>
        <w:rPr/>
        <w:t>Каждая вакансия, потребность и оффер обязаны содержать диапазон в рублях (</w:t>
      </w:r>
      <w:r>
        <w:rPr>
          <w:rStyle w:val="Style12"/>
        </w:rPr>
        <w:t>salary_min &gt; 0 AND salary_max ≥ salary_min</w:t>
      </w:r>
      <w:r>
        <w:rPr/>
        <w:t xml:space="preserve">) со спредом не более </w:t>
      </w:r>
      <w:r>
        <w:rPr>
          <w:rStyle w:val="Strong"/>
        </w:rPr>
        <w:t>3.5×</w:t>
      </w:r>
      <w:r>
        <w:rPr/>
        <w:t xml:space="preserve">, валидируемый ограничениями БД и Pydantic-схемами. </w:t>
      </w:r>
    </w:p>
    <w:p>
      <w:pPr>
        <w:pStyle w:val="Heading2"/>
        <w:bidi w:val="0"/>
        <w:ind w:hanging="0" w:left="0" w:right="0"/>
        <w:jc w:val="left"/>
        <w:rPr/>
      </w:pPr>
      <w:r>
        <w:rPr/>
        <w:t>8. Спецификация REST API и внешние интеграции (ТЗ §3.4 п.6)</w:t>
      </w:r>
    </w:p>
    <w:p>
      <w:pPr>
        <w:pStyle w:val="BodyText"/>
        <w:bidi w:val="0"/>
        <w:jc w:val="left"/>
        <w:rPr/>
      </w:pPr>
      <w:r>
        <w:rPr/>
        <w:t xml:space="preserve">API спроектирован по стандарту OpenAPI 3.1. Интерактивная документация Swagger UI доступна по адресу </w:t>
      </w:r>
      <w:r>
        <w:rPr>
          <w:rStyle w:val="Style12"/>
        </w:rPr>
        <w:t>http://153.76.194.215/docs</w:t>
      </w:r>
      <w:r>
        <w:rPr/>
        <w:t xml:space="preserve">, ReDoc — </w:t>
      </w:r>
      <w:r>
        <w:rPr>
          <w:rStyle w:val="Style12"/>
        </w:rPr>
        <w:t>http://153.76.194.215/redoc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8.1. Структура API (14 функциональных модулей, 90 эндпоинтов)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/api/v1/auth</w:t>
      </w:r>
      <w:r>
        <w:rPr/>
        <w:t xml:space="preserve"> — аутентификация, OIDC обмен токенов, подтверждение email, сессии.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/api/v1/candidate/profile</w:t>
      </w:r>
      <w:r>
        <w:rPr/>
        <w:t xml:space="preserve"> — резюме, навыки, опыт, настройки 152-ФЗ, экспорт JSON.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/api/v1/candidate/resume-pdf</w:t>
      </w:r>
      <w:r>
        <w:rPr/>
        <w:t xml:space="preserve"> — загрузка и парсинг PDF (PyMuPDF / pikePDF), генерация профиля ФСП.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/api/v1/assessment</w:t>
      </w:r>
      <w:r>
        <w:rPr/>
        <w:t xml:space="preserve"> — сессии KITE IRT 3PL, генерация задач, сабмит, байесовский расчет, кулдаун.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/api/v1/employer/needs</w:t>
      </w:r>
      <w:r>
        <w:rPr/>
        <w:t xml:space="preserve"> — создание потребностей команды, критерии стека, зарплатная вилка.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/api/v1/employer/candidate-bank</w:t>
      </w:r>
      <w:r>
        <w:rPr/>
        <w:t xml:space="preserve"> — поиск в Банке талантов, ранжирование, 4-осевой Explainability радар.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/api/v1/employer/shortlists</w:t>
      </w:r>
      <w:r>
        <w:rPr/>
        <w:t xml:space="preserve"> — управление подборками, закрепление кандидатов (pin), снимки выдачи.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/api/v1/invitations</w:t>
      </w:r>
      <w:r>
        <w:rPr/>
        <w:t xml:space="preserve"> — жизненный цикл предложений (sent → viewed → accepted → rejected), демаскирование.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/api/v1/vacancies</w:t>
      </w:r>
      <w:r>
        <w:rPr/>
        <w:t xml:space="preserve"> — вакансии, прямые отклики соискателей.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yle12"/>
        </w:rPr>
        <w:t>/api/v1/ats-integration</w:t>
      </w:r>
      <w:r>
        <w:rPr/>
        <w:t xml:space="preserve"> — экспорт кандидатов (Huntflow / HeadHunter), доставка вебхуков с подписью HMAC-SHA256.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yle12"/>
        </w:rPr>
        <w:t>/api/v1/admin</w:t>
      </w:r>
      <w:r>
        <w:rPr/>
        <w:t xml:space="preserve"> — журнал аудита 152-ФЗ, управление пользователями, антифрод работодателей. </w:t>
      </w:r>
    </w:p>
    <w:p>
      <w:pPr>
        <w:pStyle w:val="Heading2"/>
        <w:bidi w:val="0"/>
        <w:ind w:hanging="0" w:left="0" w:right="0"/>
        <w:jc w:val="left"/>
        <w:rPr/>
      </w:pPr>
      <w:r>
        <w:rPr/>
        <w:t>9. Используемые библиотеки, компоненты и версии ПО (ТЗ §3.4 п.7)</w:t>
      </w:r>
    </w:p>
    <w:tbl>
      <w:tblPr>
        <w:tblW w:w="1105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6"/>
        <w:gridCol w:w="5718"/>
        <w:gridCol w:w="1500"/>
        <w:gridCol w:w="1543"/>
      </w:tblGrid>
      <w:tr>
        <w:trPr>
          <w:tblHeader w:val="true"/>
        </w:trPr>
        <w:tc>
          <w:tcPr>
            <w:tcW w:w="2296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Компонент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Назначение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Версия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20"/>
              <w:suppressLineNumbers/>
              <w:shd w:fill="F0F2FA" w:val="clear"/>
              <w:bidi w:val="0"/>
              <w:spacing w:before="0" w:after="283"/>
              <w:jc w:val="left"/>
              <w:rPr/>
            </w:pPr>
            <w:r>
              <w:rPr/>
              <w:t>Лицензия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FastAPI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Асинхронное ядро REST API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0.115.x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MIT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Python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Среда исполнения бэкенда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3.12 / 3.14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PSF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Uvicorn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Высокопроизводительный ASGI-сервер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0.32.x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BSD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SQLAlchemy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Асинхронная ORM и слой доступа к данным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2.0.x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MIT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PostgreSQL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Реляционная СУБД ACID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16.x Alpine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Keycloak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Identity Provider (IAM), OIDC / OAuth 2.0 PKCE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26.x Quarkus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Apache 2.0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React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Фронтенд SPA библиотека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19.0.x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MIT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Tailwind CSS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Утилитарный CSS фреймворк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v4.3.x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MIT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Zustand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Менеджер клиентского состояния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v5.x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MIT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PyMuPDF / pikePDF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Парсинг и извлечение потоков из PDF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1.25.x / 9.x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AGPL / MPL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ReportLab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Генерация стандартизированных PDF резюме ФСП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4.2.x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BSD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Nginx</w:t>
            </w:r>
          </w:p>
        </w:tc>
        <w:tc>
          <w:tcPr>
            <w:tcW w:w="571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Обратный прокси и шлюз статики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1.27.x Alpine</w:t>
            </w:r>
          </w:p>
        </w:tc>
        <w:tc>
          <w:tcPr>
            <w:tcW w:w="154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BSD 2-Clause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r>
        <w:rPr/>
        <w:t>10. Пошаговая инструкция по сборке и запуску (ТЗ §3.4 п.8)</w:t>
      </w:r>
    </w:p>
    <w:p>
      <w:pPr>
        <w:pStyle w:val="Heading3"/>
        <w:bidi w:val="0"/>
        <w:jc w:val="left"/>
        <w:rPr/>
      </w:pPr>
      <w:r>
        <w:rPr/>
        <w:t>10.1. Быстрый запуск в Docker Compose (Рекомендуемый)</w:t>
      </w:r>
    </w:p>
    <w:p>
      <w:pPr>
        <w:pStyle w:val="Style19"/>
        <w:bidi w:val="0"/>
        <w:jc w:val="left"/>
        <w:rPr/>
      </w:pPr>
      <w:r>
        <w:rPr/>
        <w:t># 1. Клонирование репозитория</w:t>
      </w:r>
    </w:p>
    <w:p>
      <w:pPr>
        <w:pStyle w:val="Style19"/>
        <w:bidi w:val="0"/>
        <w:jc w:val="left"/>
        <w:rPr/>
      </w:pPr>
      <w:r>
        <w:rPr/>
        <w:t>git clone https://github.com/mutsolgov/fsp-talent-platform.git fsp-platform &amp;&amp; cd fsp-platform</w:t>
      </w:r>
    </w:p>
    <w:p>
      <w:pPr>
        <w:pStyle w:val="Style19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  <w:t># 2. Копирование переменных окружения</w:t>
      </w:r>
    </w:p>
    <w:p>
      <w:pPr>
        <w:pStyle w:val="Style19"/>
        <w:bidi w:val="0"/>
        <w:jc w:val="left"/>
        <w:rPr/>
      </w:pPr>
      <w:r>
        <w:rPr/>
        <w:t>cp .env.example .env</w:t>
      </w:r>
    </w:p>
    <w:p>
      <w:pPr>
        <w:pStyle w:val="Style19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  <w:t># 3. Сборка и запуск контейнеров в фоновом режиме</w:t>
      </w:r>
    </w:p>
    <w:p>
      <w:pPr>
        <w:pStyle w:val="Style19"/>
        <w:bidi w:val="0"/>
        <w:jc w:val="left"/>
        <w:rPr/>
      </w:pPr>
      <w:r>
        <w:rPr/>
        <w:t>docker compose up -d --build</w:t>
      </w:r>
    </w:p>
    <w:p>
      <w:pPr>
        <w:pStyle w:val="Style19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  <w:t># 4. Проверка статуса контейнеров</w:t>
      </w:r>
    </w:p>
    <w:p>
      <w:pPr>
        <w:pStyle w:val="Style19"/>
        <w:bidi w:val="0"/>
        <w:jc w:val="left"/>
        <w:rPr/>
      </w:pPr>
      <w:r>
        <w:rPr/>
        <w:t>docker compose ps</w:t>
      </w:r>
    </w:p>
    <w:p>
      <w:pPr>
        <w:pStyle w:val="Style19"/>
        <w:bidi w:val="0"/>
        <w:jc w:val="left"/>
        <w:rPr/>
      </w:pPr>
      <w:r>
        <w:rPr/>
        <w:t xml:space="preserve">  </w:t>
      </w:r>
    </w:p>
    <w:p>
      <w:pPr>
        <w:pStyle w:val="BodyText"/>
        <w:bidi w:val="0"/>
        <w:jc w:val="left"/>
        <w:rPr/>
      </w:pPr>
      <w:r>
        <w:rPr/>
        <w:t xml:space="preserve">После запуска интерфейс доступен по адресу </w:t>
      </w:r>
      <w:r>
        <w:rPr>
          <w:rStyle w:val="Style12"/>
        </w:rPr>
        <w:t>http://localhost</w:t>
      </w:r>
      <w:r>
        <w:rPr/>
        <w:t xml:space="preserve">, Swagger API — </w:t>
      </w:r>
      <w:r>
        <w:rPr>
          <w:rStyle w:val="Style12"/>
        </w:rPr>
        <w:t>http://localhost:8000/docs</w:t>
      </w:r>
      <w:r>
        <w:rPr/>
        <w:t xml:space="preserve">, Keycloak — </w:t>
      </w:r>
      <w:r>
        <w:rPr>
          <w:rStyle w:val="Style12"/>
        </w:rPr>
        <w:t>http://localhost:8080/auth/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10.2. Запуск автоматических тестов и верификации</w:t>
      </w:r>
    </w:p>
    <w:p>
      <w:pPr>
        <w:pStyle w:val="Style19"/>
        <w:bidi w:val="0"/>
        <w:jc w:val="left"/>
        <w:rPr/>
      </w:pPr>
      <w:r>
        <w:rPr/>
        <w:t># Юнит-тесты бэкенда (113 тестов)</w:t>
      </w:r>
    </w:p>
    <w:p>
      <w:pPr>
        <w:pStyle w:val="Style19"/>
        <w:bidi w:val="0"/>
        <w:jc w:val="left"/>
        <w:rPr/>
      </w:pPr>
      <w:r>
        <w:rPr/>
        <w:t>pytest backend/tests/unit -v</w:t>
      </w:r>
    </w:p>
    <w:p>
      <w:pPr>
        <w:pStyle w:val="Style19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  <w:t># Интеграционные тесты и валидационный бенчмарк 900 пар (106 тестов)</w:t>
      </w:r>
    </w:p>
    <w:p>
      <w:pPr>
        <w:pStyle w:val="Style19"/>
        <w:bidi w:val="0"/>
        <w:jc w:val="left"/>
        <w:rPr/>
      </w:pPr>
      <w:r>
        <w:rPr/>
        <w:t>pytest backend/tests/integration -v</w:t>
      </w:r>
    </w:p>
    <w:p>
      <w:pPr>
        <w:pStyle w:val="Style19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  <w:t># Юнит-тесты фронтенда (100 тестов)</w:t>
      </w:r>
    </w:p>
    <w:p>
      <w:pPr>
        <w:pStyle w:val="Style19"/>
        <w:bidi w:val="0"/>
        <w:jc w:val="left"/>
        <w:rPr/>
      </w:pPr>
      <w:r>
        <w:rPr/>
        <w:t>npm --prefix frontend test -- --run</w:t>
      </w:r>
    </w:p>
    <w:p>
      <w:pPr>
        <w:pStyle w:val="Style19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  <w:t># Сборка production бандла фронтенда</w:t>
      </w:r>
    </w:p>
    <w:p>
      <w:pPr>
        <w:pStyle w:val="Style19"/>
        <w:bidi w:val="0"/>
        <w:jc w:val="left"/>
        <w:rPr/>
      </w:pPr>
      <w:r>
        <w:rPr/>
        <w:t>npm --prefix frontend run build</w:t>
      </w:r>
    </w:p>
    <w:p>
      <w:pPr>
        <w:pStyle w:val="Style19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  <w:t># Проверка соответствия ТЗ и матрицы требований (17 проверок)</w:t>
      </w:r>
    </w:p>
    <w:p>
      <w:pPr>
        <w:pStyle w:val="Style19"/>
        <w:bidi w:val="0"/>
        <w:jc w:val="left"/>
        <w:rPr/>
      </w:pPr>
      <w:r>
        <w:rPr/>
        <w:t>python3 scripts/check_consistency.py</w:t>
      </w:r>
    </w:p>
    <w:p>
      <w:pPr>
        <w:pStyle w:val="Style19"/>
        <w:bidi w:val="0"/>
        <w:spacing w:before="225" w:after="225"/>
        <w:jc w:val="left"/>
        <w:rPr/>
      </w:pPr>
      <w:r>
        <w:rPr/>
        <w:t xml:space="preserve">  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SFMono-Regular">
    <w:altName w:val="Consola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apple-system;BlinkMacSystemFont;Segoe UI;Roboto;Helvetica;Arial;sans-serif" w:hAnsi="apple-system;BlinkMacSystemFont;Segoe UI;Roboto;Helvetica;Arial;sans-serif" w:eastAsia="apple-system;BlinkMacSystemFont;Segoe UI;Roboto;Helvetica;Arial;sans-serif" w:cs="apple-system;BlinkMacSystemFont;Segoe UI;Roboto;Helvetica;Arial;sans-serif"/>
      <w:color w:val="1C1D22"/>
      <w:sz w:val="22"/>
      <w:szCs w:val="22"/>
      <w:lang w:val="ru-RU" w:eastAsia="zh-CN" w:bidi="hi-IN"/>
    </w:rPr>
  </w:style>
  <w:style w:type="paragraph" w:styleId="Heading1">
    <w:name w:val="heading 1"/>
    <w:basedOn w:val="Style18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Style18"/>
    <w:next w:val="BodyText"/>
    <w:qFormat/>
    <w:pPr>
      <w:pBdr>
        <w:bottom w:val="single" w:sz="12" w:space="5" w:color="402FFF"/>
      </w:pBdr>
      <w:spacing w:before="450" w:after="225"/>
      <w:outlineLvl w:val="1"/>
    </w:pPr>
    <w:rPr>
      <w:rFonts w:ascii="Liberation Serif" w:hAnsi="Liberation Serif" w:eastAsia="Noto Serif CJK SC" w:cs="Noto Sans Devanagari"/>
      <w:b/>
      <w:bCs/>
      <w:color w:val="1C1D22"/>
      <w:sz w:val="32"/>
      <w:szCs w:val="32"/>
    </w:rPr>
  </w:style>
  <w:style w:type="paragraph" w:styleId="Heading3">
    <w:name w:val="heading 3"/>
    <w:basedOn w:val="Style18"/>
    <w:next w:val="BodyText"/>
    <w:qFormat/>
    <w:pPr>
      <w:spacing w:before="300" w:after="150"/>
      <w:outlineLvl w:val="2"/>
    </w:pPr>
    <w:rPr>
      <w:rFonts w:ascii="Liberation Serif" w:hAnsi="Liberation Serif" w:eastAsia="Noto Serif CJK SC" w:cs="Noto Sans Devanagari"/>
      <w:b/>
      <w:bCs/>
      <w:color w:val="520978"/>
      <w:sz w:val="26"/>
      <w:szCs w:val="26"/>
    </w:rPr>
  </w:style>
  <w:style w:type="paragraph" w:styleId="Heading4">
    <w:name w:val="heading 4"/>
    <w:basedOn w:val="Style18"/>
    <w:next w:val="BodyText"/>
    <w:qFormat/>
    <w:pPr>
      <w:spacing w:before="225" w:after="120"/>
      <w:outlineLvl w:val="3"/>
    </w:pPr>
    <w:rPr>
      <w:rFonts w:ascii="Liberation Serif" w:hAnsi="Liberation Serif" w:eastAsia="Noto Serif CJK SC" w:cs="Noto Sans Devanagari"/>
      <w:b/>
      <w:bCs/>
      <w:color w:val="1C1D22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0">
    <w:name w:val="Символ концевой сноски"/>
    <w:qFormat/>
    <w:rPr/>
  </w:style>
  <w:style w:type="character" w:styleId="Style11">
    <w:name w:val="Символ сноски"/>
    <w:qFormat/>
    <w:rPr/>
  </w:style>
  <w:style w:type="character" w:styleId="Hyperlink">
    <w:name w:val="Hyperlink"/>
    <w:rPr>
      <w:color w:val="000080"/>
      <w:u w:val="single"/>
    </w:rPr>
  </w:style>
  <w:style w:type="character" w:styleId="Style12">
    <w:name w:val="Исходный текст"/>
    <w:qFormat/>
    <w:rPr>
      <w:rFonts w:ascii="SFMono-Regular;Consolas;Liberation Mono;Menlo;Courier;monospace" w:hAnsi="SFMono-Regular;Consolas;Liberation Mono;Menlo;Courier;monospace" w:eastAsia="SFMono-Regular;Consolas;Liberation Mono;Menlo;Courier;monospace" w:cs="SFMono-Regular;Consolas;Liberation Mono;Menlo;Courier;monospace"/>
      <w:color w:val="520978"/>
      <w:sz w:val="19"/>
      <w:szCs w:val="19"/>
      <w:shd w:fill="F1F2F6" w:val="clear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Style15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6">
    <w:name w:val="Содержимое таблицы"/>
    <w:basedOn w:val="BodyText"/>
    <w:qFormat/>
    <w:pPr/>
    <w:rPr/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1doc-title">
    <w:name w:val="Заголовок 1.doc-title"/>
    <w:basedOn w:val="Heading1"/>
    <w:qFormat/>
    <w:pPr>
      <w:spacing w:lineRule="auto" w:line="300" w:before="225" w:after="375"/>
      <w:ind w:left="225" w:right="225"/>
    </w:pPr>
    <w:rPr>
      <w:color w:val="1C1D22"/>
    </w:rPr>
  </w:style>
  <w:style w:type="paragraph" w:styleId="Style19">
    <w:name w:val="Текст в заданном формате"/>
    <w:basedOn w:val="Normal"/>
    <w:qFormat/>
    <w:pPr>
      <w:pBdr/>
      <w:shd w:fill="1B1C21" w:val="clear"/>
      <w:spacing w:lineRule="auto" w:line="336" w:before="225" w:after="225"/>
      <w:ind w:left="225" w:right="225"/>
    </w:pPr>
    <w:rPr>
      <w:rFonts w:ascii="SFMono-Regular;Consolas;Liberation Mono;Menlo;Courier;monospace" w:hAnsi="SFMono-Regular;Consolas;Liberation Mono;Menlo;Courier;monospace" w:eastAsia="SFMono-Regular;Consolas;Liberation Mono;Menlo;Courier;monospace" w:cs="SFMono-Regular;Consolas;Liberation Mono;Menlo;Courier;monospace"/>
      <w:color w:val="E2E3E8"/>
      <w:sz w:val="18"/>
      <w:szCs w:val="18"/>
    </w:rPr>
  </w:style>
  <w:style w:type="paragraph" w:styleId="Style20">
    <w:name w:val="Заголовок таблицы"/>
    <w:basedOn w:val="Style16"/>
    <w:qFormat/>
    <w:pPr>
      <w:suppressLineNumbers/>
      <w:shd w:fill="F0F2FA" w:val="clear"/>
      <w:jc w:val="left"/>
    </w:pPr>
    <w:rPr>
      <w:b/>
      <w:bCs/>
      <w:color w:val="1C1D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>Сопроводительная документация — Цифровая платформа талантов ФСП (ЛЦТ 2026)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