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300"/>
        <w:ind w:hanging="0" w:start="0" w:end="0"/>
        <w:jc w:val="center"/>
        <w:rPr>
          <w:b/>
          <w:caps/>
          <w:color w:val="475467"/>
          <w:spacing w:val="15"/>
          <w:sz w:val="22"/>
        </w:rPr>
      </w:pPr>
      <w:r>
        <w:rPr>
          <w:b/>
          <w:caps/>
          <w:color w:val="475467"/>
          <w:spacing w:val="15"/>
          <w:sz w:val="22"/>
        </w:rPr>
        <w:t xml:space="preserve">ПАО «РОСТЕЛЕКОМ» • ДЕПАРТАМЕНТ ОБРАЗОВАТЕЛЬНЫХ ПРОГРАММ И РАБОТЫ С ВУЗАМИ </w:t>
      </w:r>
    </w:p>
    <w:p>
      <w:pPr>
        <w:pStyle w:val="BodyText"/>
        <w:bidi w:val="0"/>
        <w:spacing w:before="0" w:after="120"/>
        <w:ind w:hanging="0" w:start="300" w:end="300"/>
        <w:jc w:val="center"/>
        <w:rPr>
          <w:b/>
          <w:caps/>
          <w:color w:val="7700FF"/>
          <w:sz w:val="44"/>
        </w:rPr>
      </w:pPr>
      <w:r>
        <w:rPr>
          <w:b/>
          <w:caps/>
          <w:color w:val="7700FF"/>
          <w:sz w:val="44"/>
        </w:rPr>
        <w:t>ИТ ШКОЛА РОСТЕЛЕКОМА — CRM</w:t>
      </w:r>
    </w:p>
    <w:p>
      <w:pPr>
        <w:pStyle w:val="BodyText"/>
        <w:bidi w:val="0"/>
        <w:spacing w:before="0" w:after="210"/>
        <w:ind w:hanging="0" w:start="300" w:end="300"/>
        <w:jc w:val="center"/>
        <w:rPr>
          <w:b/>
          <w:color w:val="101828"/>
          <w:sz w:val="28"/>
        </w:rPr>
      </w:pPr>
      <w:r>
        <w:rPr>
          <w:b/>
          <w:color w:val="101828"/>
          <w:sz w:val="28"/>
        </w:rPr>
        <w:t>ПОЯСНИТЕЛЬНАЯ ЗАПИСКА И СОПРОВОДИТЕЛЬНАЯ ДОКУМЕНТАЦИЯ</w:t>
      </w:r>
    </w:p>
    <w:p>
      <w:pPr>
        <w:pStyle w:val="BodyText"/>
        <w:bidi w:val="0"/>
        <w:spacing w:lineRule="auto" w:line="336" w:before="300" w:after="300"/>
        <w:ind w:hanging="0" w:start="300" w:end="300"/>
        <w:jc w:val="center"/>
        <w:rPr>
          <w:color w:val="475467"/>
          <w:sz w:val="19"/>
        </w:rPr>
      </w:pPr>
      <w:r>
        <w:rPr>
          <w:color w:val="475467"/>
          <w:sz w:val="19"/>
        </w:rPr>
        <w:t xml:space="preserve">Архитектурно-техническое описание, методы обработки данных, руководство пользователя, руководство системного администратора, инструкции по развёртыванию и аудит информационной безопасности </w:t>
      </w:r>
    </w:p>
    <w:p>
      <w:pPr>
        <w:pStyle w:val="BodyText"/>
        <w:bidi w:val="0"/>
        <w:spacing w:lineRule="auto" w:line="336" w:before="270" w:after="270"/>
        <w:ind w:hanging="0" w:start="270" w:end="270"/>
        <w:jc w:val="start"/>
        <w:rPr/>
      </w:pPr>
      <w:r>
        <w:rPr>
          <w:rStyle w:val="Strong"/>
          <w:sz w:val="17"/>
          <w:bdr w:val="single" w:sz="24" w:space="12" w:color="7700FF"/>
          <w:shd w:fill="F8F9FC" w:val="clear"/>
        </w:rPr>
        <w:t>Соответствие нормативно-технической базе:</w:t>
      </w:r>
      <w:r>
        <w:rPr>
          <w:sz w:val="17"/>
          <w:bdr w:val="single" w:sz="24" w:space="12" w:color="7700FF"/>
          <w:shd w:fill="F8F9FC" w:val="clear"/>
        </w:rPr>
        <w:br/>
        <w:t>• Техническое задание заказчика (Разделы 4, 6, 7, 8, 10)</w:t>
        <w:br/>
        <w:t>• Федеральный закон № 149-ФЗ «Об информации, информационных технологиях и о защите информации»</w:t>
        <w:br/>
        <w:t>• Федеральный закон № 152-ФЗ «О персональных данных»</w:t>
        <w:br/>
        <w:t>• Приказ ФСТЭК России № 117 (Требования о защите информации в ИС)</w:t>
        <w:br/>
        <w:t>• Архитектурный стандарт моделирования The Open Group ArchiMate 3.1 (Archi)</w:t>
        <w:br/>
        <w:t xml:space="preserve">• Архитектурная парадигма: Модульный монолит, Zero-Oracle RBAC, Stdlib-first (минимизация внешних зависимостей) </w:t>
      </w:r>
    </w:p>
    <w:p>
      <w:pPr>
        <w:pStyle w:val="BodyText"/>
        <w:bidi w:val="0"/>
        <w:spacing w:before="360" w:after="283"/>
        <w:ind w:hanging="0" w:start="0" w:end="0"/>
        <w:jc w:val="center"/>
        <w:rPr/>
      </w:pPr>
      <w:r>
        <w:rPr>
          <w:rStyle w:val="Strong"/>
          <w:color w:val="667085"/>
          <w:sz w:val="18"/>
        </w:rPr>
        <w:t>Москва — 2026</w:t>
      </w:r>
      <w:r>
        <w:rPr>
          <w:color w:val="667085"/>
          <w:sz w:val="18"/>
        </w:rPr>
        <w:br/>
        <w:t xml:space="preserve">Версия релиза: 1.0.0-PROD • Статус верификации: 100% Passed (686 тестов, 4 системных оракула) </w:t>
      </w:r>
    </w:p>
    <w:p>
      <w:pPr>
        <w:pStyle w:val="Heading1"/>
        <w:bidi w:val="0"/>
        <w:ind w:hanging="0" w:start="0" w:end="0"/>
        <w:jc w:val="start"/>
        <w:rPr/>
      </w:pPr>
      <w:r>
        <w:rPr/>
        <w:t>Содержание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9887"/>
        <w:gridCol w:w="319"/>
      </w:tblGrid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1. Введение и паспорт программного комплекса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1.1. Назначение системы и бизнес-контекст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1.2. Проблематика текущего процесса и цели внедрения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1.3. Ролевая модель и ключевые пользователи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4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2. Функциональная и компонентная архитектура (Archi &amp; C4)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2.1. Контекстная архитектура (C4 Context)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2.2. Контейнерная архитектура (C4 Container)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6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2.3. Компонентная структура бэкенда (C4 Component)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7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2.4. Архитектурная модель в среде Archi (The Open Group ArchiMate 3.1)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8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2.5. Сетевая топология и контуры доверия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9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3. Методы обработки данных, условия и ограничения (D01–D16)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10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3.1. Двухфазный импорт каталогов (D01–D04)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10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3.2. Воронка жизненного цикла и правила переходов (D05–D06)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11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3.3. Аналитический движок отчётов и защита от инъекций (D07–D09)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12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3.4. Интеграционный шлюз LMS и Сайта, отказоустойчивость AC21 (D10–D11)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14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3.5. Инварианты информационной безопасности (152-ФЗ, ФСТЭК №117)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4. Руководство пользователя (User Guide)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17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4.1. Вход в систему и ролевая навигация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17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4.2. Рабочий обзор (Dashboard)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18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4.3. Реестр и поиск взаимодействий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19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4.4. Карточка взаимодействия: воронка, параметры, документооборот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20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4.5. Каталоги организаций и назначение кураторов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22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4.6. Построение аналитических отчётов и экспорт (XLSX, PDF, CSV)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23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4.7. Справочный центр и симулятор сбоев (AC21 Fault Simulator)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24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5. Руководство системного администратора (Admin Guide)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5.1. Управление доступом, ролями и сессиями в Keycloak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5.2. Мониторинг интеграций и журнала вебхуков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26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5.3. Диагностика здоровья сервисов (/health/live, /health/ready)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27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5.4. Регламент резервного копирования и восстановления данных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28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6. Инструкция по сборке, компиляции и установке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29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6.1. Системные требования к серверам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29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6.2. Пошаговое развёртывание в Docker Compose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29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6.3. Инициализация и сидирование демонстрационных данных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30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6.4. Настройка Nginx, SSL/TLS и публикация стенда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31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7. Реестр использованных сторонних библиотек и компонентов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32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7.1. Спецификация серверных зависимостей (Python Backend)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32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7.2. Спецификация клиентских зависимостей (React Frontend)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33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7.3. Лицензионный аудит и импортозамещение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34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>
                <w:rStyle w:val="Strong"/>
                <w:sz w:val="16"/>
              </w:rPr>
              <w:t>8. Результаты тестирования, нагрузочные испытания и оракулы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8.1. Сводные результаты прогона тестов (686/686 Passed)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35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8.2. Результаты 4 системных оракулов верификации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36</w:t>
            </w:r>
          </w:p>
        </w:tc>
      </w:tr>
      <w:tr>
        <w:trPr/>
        <w:tc>
          <w:tcPr>
            <w:tcW w:w="9887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ind w:hanging="0" w:start="0" w:end="0"/>
              <w:jc w:val="start"/>
              <w:rPr/>
            </w:pPr>
            <w:r>
              <w:rPr/>
              <w:t>    </w:t>
            </w:r>
            <w:r>
              <w:rPr>
                <w:sz w:val="16"/>
              </w:rPr>
              <w:t>8.3. Нагрузочный бенчмарк (50 concurrent users, 10 параллельных отчётов)</w:t>
            </w:r>
          </w:p>
        </w:tc>
        <w:tc>
          <w:tcPr>
            <w:tcW w:w="319" w:type="dxa"/>
            <w:tcBorders>
              <w:bottom w:val="dotted" w:sz="2" w:space="0" w:color="98A2B3"/>
            </w:tcBorders>
            <w:vAlign w:val="center"/>
          </w:tcPr>
          <w:p>
            <w:pPr>
              <w:pStyle w:val="Style17"/>
              <w:bidi w:val="0"/>
              <w:spacing w:lineRule="auto" w:line="288" w:before="0" w:after="283"/>
              <w:jc w:val="end"/>
              <w:rPr>
                <w:b/>
                <w:sz w:val="16"/>
              </w:rPr>
            </w:pPr>
            <w:r>
              <w:rPr>
                <w:b/>
                <w:sz w:val="16"/>
              </w:rPr>
              <w:t>37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1. Введение и паспорт программного комплекса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1.1. Назначение системы и бизнес-контекст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Автоматизированная информационная система </w:t>
      </w:r>
      <w:r>
        <w:rPr>
          <w:rStyle w:val="Strong"/>
        </w:rPr>
        <w:t>«ИТ Школа Ростелекома — CRM» (rost_crm)</w:t>
      </w:r>
      <w:r>
        <w:rPr/>
        <w:t xml:space="preserve"> представляет собой специализированный программный комплекс, предназначенный для сквозного управления и контроля взаимодействий с высшими и средними специальными учебными заведениями Российской Федерации по образовательным программам в сфере информационных технологий и внедрению цифровых продуктов ПАО «Ростелеком».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Система решает ключевую государственную и корпоративную задачу: обеспечение непрерывного контроля за подготовкой квалифицированных ИТ-специалистов, объективное ранжирование образовательных программ по показателям востребованности (число заявок, контингент обучающихся, число параллельных потоков) и автоматизация перехода образовательных учреждений на отечественные программные платформы.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1.2. Проблематика текущего процесса и цели внедрения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До внедрения CRM взаимодействие сотрудников ИТ Школы с образовательными организациями характеризовалось отсутствием централизованной базы данных, фрагментарным ведением переписки в различных каналах связи и высокими трудозатратами. В соответствии с разделом 2 Технического задания, базовый путь взаимодействия включает </w:t>
      </w:r>
      <w:r>
        <w:rPr>
          <w:rStyle w:val="Strong"/>
        </w:rPr>
        <w:t>14 последовательных и критических этапов</w:t>
      </w:r>
      <w:r>
        <w:rPr/>
        <w:t xml:space="preserve">: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Поиск контактов ответственного в вузе;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Коммуникация с ним и уточнение актуальности программ по ИТ-направлениям;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Организация встречи с представителями вуза;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Обмен необходимым пакетом документов для подписания;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Корректировка документов перед подписанием (опционально);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Подписание документов;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Передача обучающих материалов по ИТ-направлению, лицензий ИТ-продукта и документации в вуз;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Сопровождение внедрения ИТ-продуктов в вузе;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Обучение преподавателей;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Актуализация учебной программы по ИТ-направлению с учётом обучения преподавателя и добавления ИТ-продукта;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Ведение занятий;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Актуализация документации по продукту и обучающим материалам;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Повышение квалификации преподавателей;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Контроль за исполнением каждого этапа.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Ключевые цели внедрения CRM: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Сокращение трудозатрат</w:t>
      </w:r>
      <w:r>
        <w:rPr/>
        <w:t xml:space="preserve"> сотрудников ИТ Школы на 60–70% за счёт регламентированной воронки статусов и автоматизированного документооборота;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Исключение потери контекста</w:t>
      </w:r>
      <w:r>
        <w:rPr/>
        <w:t xml:space="preserve"> при ротации или отпусках кураторов за счёт нестираемой истории решений и прикреплённых артефактов;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Автоматизированная двухсторонняя интеграция</w:t>
      </w:r>
      <w:r>
        <w:rPr/>
        <w:t xml:space="preserve"> с внешними контурами заказчика: образовательной платформой LMS (Zion LMS) и официальным сайтом;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Безусловное соответствие требованиям ИБ</w:t>
      </w:r>
      <w:r>
        <w:rPr/>
        <w:t xml:space="preserve"> (152-ФЗ, 149-ФЗ, Приказ ФСТЭК №117).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1.3. Ролевая модель и ключевые пользователи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 ТЗ в системе реализована строгая ролевая модель, обеспечивающая разграничение полномочий на уровне отдельных записей (Row-Level Security):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131"/>
        <w:gridCol w:w="2367"/>
        <w:gridCol w:w="5708"/>
      </w:tblGrid>
      <w:tr>
        <w:trPr/>
        <w:tc>
          <w:tcPr>
            <w:tcW w:w="2131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Роль в системе</w:t>
            </w:r>
          </w:p>
        </w:tc>
        <w:tc>
          <w:tcPr>
            <w:tcW w:w="236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Целевая аудитория</w:t>
            </w:r>
          </w:p>
        </w:tc>
        <w:tc>
          <w:tcPr>
            <w:tcW w:w="570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Полномочия и границы видимости (Scope)</w:t>
            </w:r>
          </w:p>
        </w:tc>
      </w:tr>
      <w:tr>
        <w:trPr/>
        <w:tc>
          <w:tcPr>
            <w:tcW w:w="2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Менеджер (КАМ)</w:t>
            </w:r>
            <w:r>
              <w:rPr/>
              <w:br/>
              <w:t>manager</w:t>
            </w:r>
          </w:p>
        </w:tc>
        <w:tc>
          <w:tcPr>
            <w:tcW w:w="236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Key Account Managers — кураторы вузов (~20 сотрудников)</w:t>
            </w:r>
          </w:p>
        </w:tc>
        <w:tc>
          <w:tcPr>
            <w:tcW w:w="570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Видит </w:t>
            </w:r>
            <w:r>
              <w:rPr>
                <w:rStyle w:val="Strong"/>
              </w:rPr>
              <w:t>исключительно свои взаимодействия</w:t>
            </w:r>
            <w:r>
              <w:rPr/>
              <w:t xml:space="preserve"> (</w:t>
            </w:r>
            <w:r>
              <w:rPr>
                <w:rStyle w:val="Style13"/>
              </w:rPr>
              <w:t>Interaction.owner_id == user.id</w:t>
            </w:r>
            <w:r>
              <w:rPr/>
              <w:t xml:space="preserve">). Создаёт карточки, перемещает по воронке, загружает документы, добавляет комментарии, выгружает отчёты по своим сделкам. Прямой запрос чужого ID возвращает </w:t>
            </w:r>
            <w:r>
              <w:rPr>
                <w:rStyle w:val="Style13"/>
              </w:rPr>
              <w:t>404 Not Found</w:t>
            </w:r>
            <w:r>
              <w:rPr/>
              <w:t xml:space="preserve">. </w:t>
            </w:r>
          </w:p>
        </w:tc>
      </w:tr>
      <w:tr>
        <w:trPr/>
        <w:tc>
          <w:tcPr>
            <w:tcW w:w="2131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Руководитель</w:t>
            </w:r>
            <w:r>
              <w:rPr/>
              <w:br/>
              <w:t>supervisor</w:t>
            </w:r>
          </w:p>
        </w:tc>
        <w:tc>
          <w:tcPr>
            <w:tcW w:w="236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Руководители направлений и групп менеджеров</w:t>
            </w:r>
          </w:p>
        </w:tc>
        <w:tc>
          <w:tcPr>
            <w:tcW w:w="570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Видит </w:t>
            </w:r>
            <w:r>
              <w:rPr>
                <w:rStyle w:val="Strong"/>
              </w:rPr>
              <w:t>все взаимодействия своей команды</w:t>
            </w:r>
            <w:r>
              <w:rPr/>
              <w:t xml:space="preserve"> (</w:t>
            </w:r>
            <w:r>
              <w:rPr>
                <w:rStyle w:val="Style13"/>
              </w:rPr>
              <w:t>Interaction.team_id == user.team_id</w:t>
            </w:r>
            <w:r>
              <w:rPr/>
              <w:t xml:space="preserve">). Имеет эксклюзивное право переназначать ответственных менеджеров, анализировать общую воронку команды и строить сводные отчёты. </w:t>
            </w:r>
          </w:p>
        </w:tc>
      </w:tr>
      <w:tr>
        <w:trPr/>
        <w:tc>
          <w:tcPr>
            <w:tcW w:w="2131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Администратор</w:t>
            </w:r>
            <w:r>
              <w:rPr/>
              <w:br/>
              <w:t>administrator</w:t>
            </w:r>
          </w:p>
        </w:tc>
        <w:tc>
          <w:tcPr>
            <w:tcW w:w="236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Технические специалисты ИТ Школы РТК</w:t>
            </w:r>
          </w:p>
        </w:tc>
        <w:tc>
          <w:tcPr>
            <w:tcW w:w="570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Управление правами доступа, ролями пользователей, справочниками организаций/программ/продуктов, импорт каталогов из XLSX/CSV, мониторинг интеграционных вебхуков LMS/Сайта, аудит безопасности. </w:t>
            </w:r>
            <w:r>
              <w:rPr>
                <w:rStyle w:val="Emphasis"/>
              </w:rPr>
              <w:t>Не имеет неявного доступа к просмотру чужих бизнес-данных без явного назначения.</w:t>
            </w:r>
            <w:r>
              <w:rPr/>
              <w:t xml:space="preserve">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2. Функциональная и компонентная архитектура (Archi &amp; C4)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2.1. Контекстная архитектура (C4 Context)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Система спроектирована как независимый программный сервис корпоративного уровня, бесшовно интегрируемый в существующий ИТ-ландшафт ПАО «Ростелеком»: </w:t>
      </w:r>
    </w:p>
    <w:tbl>
      <w:tblPr>
        <w:tblW w:w="10206" w:type="dxa"/>
        <w:jc w:val="start"/>
        <w:tblInd w:w="-30" w:type="dxa"/>
        <w:shd w:fill="F8F9FC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7700FF"/>
            </w:tcBorders>
            <w:shd w:fill="F8F9FC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Внешние системы и пользователи:</w:t>
            </w:r>
            <w:r>
              <w:rPr/>
              <w:br/>
              <w:t xml:space="preserve">1. </w:t>
            </w:r>
            <w:r>
              <w:rPr>
                <w:rStyle w:val="Strong"/>
              </w:rPr>
              <w:t>Пользователи (Менеджеры, Руководители, Администраторы)</w:t>
            </w:r>
            <w:r>
              <w:rPr/>
              <w:t xml:space="preserve"> — взаимодействуют через веб-интерфейс (SPA) по защищённому протоколу HTTPS.</w:t>
              <w:br/>
              <w:t xml:space="preserve">2. </w:t>
            </w:r>
            <w:r>
              <w:rPr>
                <w:rStyle w:val="Strong"/>
              </w:rPr>
              <w:t>Keycloak IdP (Корпоративный сервис аутентификации)</w:t>
            </w:r>
            <w:r>
              <w:rPr/>
              <w:t xml:space="preserve"> — обеспечивает единый вход (SSO), протокол OpenID Connect (OIDC Authorization Code Flow с защитой PKCE S256).</w:t>
              <w:br/>
              <w:t xml:space="preserve">3. </w:t>
            </w:r>
            <w:r>
              <w:rPr>
                <w:rStyle w:val="Strong"/>
              </w:rPr>
              <w:t>LMS ИТ Школы (Zion LMS)</w:t>
            </w:r>
            <w:r>
              <w:rPr/>
              <w:t xml:space="preserve"> — передаёт данные об успеваемости, активности слушателей и прохождении курсов через защищённый Webhook API v1.0 с HMAC-SHA256.</w:t>
              <w:br/>
              <w:t xml:space="preserve">4. </w:t>
            </w:r>
            <w:r>
              <w:rPr>
                <w:rStyle w:val="Strong"/>
              </w:rPr>
              <w:t>Официальный веб-сайт ИТ Школы</w:t>
            </w:r>
            <w:r>
              <w:rPr/>
              <w:t xml:space="preserve"> — передаёт первичные заявки на обучение и запросы на партнёрство от образовательных организаций.</w:t>
              <w:br/>
              <w:t xml:space="preserve">5. </w:t>
            </w:r>
            <w:r>
              <w:rPr>
                <w:rStyle w:val="Strong"/>
              </w:rPr>
              <w:t>Антивирусный шлюз ClamAV Daemon</w:t>
            </w:r>
            <w:r>
              <w:rPr/>
              <w:t xml:space="preserve"> — потоковая онлайн-проверка всех загружаемых файлов в оперативной памяти до сохранения на диск. 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2.2. Контейнерная архитектура (C4 Container)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Все компоненты комплекса упакованы в легковесные контейнеры стандарта OCI/Docker и управляются через </w:t>
      </w:r>
      <w:r>
        <w:rPr>
          <w:rStyle w:val="Style13"/>
        </w:rPr>
        <w:t>compose.yaml</w:t>
      </w:r>
      <w:r>
        <w:rPr/>
        <w:t xml:space="preserve"> с чётким разделением на изолированные сетевые контуры: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1814"/>
        <w:gridCol w:w="1916"/>
        <w:gridCol w:w="1710"/>
        <w:gridCol w:w="4766"/>
      </w:tblGrid>
      <w:tr>
        <w:trPr/>
        <w:tc>
          <w:tcPr>
            <w:tcW w:w="181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Контейнер / Сервис</w:t>
            </w:r>
          </w:p>
        </w:tc>
        <w:tc>
          <w:tcPr>
            <w:tcW w:w="191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Базовый образ / Стек</w:t>
            </w:r>
          </w:p>
        </w:tc>
        <w:tc>
          <w:tcPr>
            <w:tcW w:w="171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Сетевой контур</w:t>
            </w:r>
          </w:p>
        </w:tc>
        <w:tc>
          <w:tcPr>
            <w:tcW w:w="476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и функционал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frontend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Nginx 1.27-alpine / React 19 SPA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 (port 3000)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Раздача статических ассетов веб-клиента, reverse proxy к API, лимит тела запроса 25 МБ, CSP и security-заголовки.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api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Python 3.14 / FastAPI / Uvicorn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, </w:t>
            </w:r>
            <w:r>
              <w:rPr>
                <w:rStyle w:val="Style13"/>
              </w:rPr>
              <w:t>backend_net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Вычислительное ядро CRM. Обработка REST API, проверка JWT OIDC, CAS-блокировка, генератор отчётов, вебхуки.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postgres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PostgreSQL 16-alpine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Реляционная СУБД. Хранение транзакционных данных, событийного журнала, пользователей и каталогов. Порт наружу закрыт!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keycloak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Keycloak 26.7.4 (Quay.io)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frontend_net</w:t>
            </w:r>
            <w:r>
              <w:rPr/>
              <w:t xml:space="preserve">, </w:t>
            </w:r>
            <w:r>
              <w:rPr>
                <w:rStyle w:val="Style13"/>
              </w:rPr>
              <w:t>backend_net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OIDC Identity Provider. Управление учётными записями, PKCE авторизация, выпуск и ротация криптографических ключей JWKS.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clamav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ClamAV Official Daemon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Потоковое сканирование вложений по сокету TCP 3310 (INSTREAM протокол). Блокировка угроз до записи в storage.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redis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Redis 7-alpine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(internal: true)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In-memory кэширование, сессионные лимиты (Rate Limiter), координация фоновых задач.</w:t>
            </w:r>
          </w:p>
        </w:tc>
      </w:tr>
      <w:tr>
        <w:trPr/>
        <w:tc>
          <w:tcPr>
            <w:tcW w:w="181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db-migrator</w:t>
            </w:r>
          </w:p>
        </w:tc>
        <w:tc>
          <w:tcPr>
            <w:tcW w:w="191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Alembic / Python 3.14</w:t>
            </w:r>
          </w:p>
        </w:tc>
        <w:tc>
          <w:tcPr>
            <w:tcW w:w="171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backend_net</w:t>
            </w:r>
            <w:r>
              <w:rPr/>
              <w:t xml:space="preserve"> (run-once)</w:t>
            </w:r>
          </w:p>
        </w:tc>
        <w:tc>
          <w:tcPr>
            <w:tcW w:w="476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Автоматическое применение версионированных миграций схемы БД при старте до запуска API-сервера.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2.3. Компонентная структура бэкенда (C4 Component)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Серверная часть организована по принципу модульного монолита с низким зацеплением (Low Coupling) и высокой связностью (High Cohesion):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app.routers</w:t>
      </w:r>
      <w:r>
        <w:rPr/>
        <w:t xml:space="preserve"> — контроллеры конечных точек API (</w:t>
      </w:r>
      <w:r>
        <w:rPr>
          <w:rStyle w:val="Style13"/>
        </w:rPr>
        <w:t>/interactions</w:t>
      </w:r>
      <w:r>
        <w:rPr/>
        <w:t xml:space="preserve">, </w:t>
      </w:r>
      <w:r>
        <w:rPr>
          <w:rStyle w:val="Style13"/>
        </w:rPr>
        <w:t>/catalogs</w:t>
      </w:r>
      <w:r>
        <w:rPr/>
        <w:t xml:space="preserve">, </w:t>
      </w:r>
      <w:r>
        <w:rPr>
          <w:rStyle w:val="Style13"/>
        </w:rPr>
        <w:t>/reports</w:t>
      </w:r>
      <w:r>
        <w:rPr/>
        <w:t xml:space="preserve">, </w:t>
      </w:r>
      <w:r>
        <w:rPr>
          <w:rStyle w:val="Style13"/>
        </w:rPr>
        <w:t>/files</w:t>
      </w:r>
      <w:r>
        <w:rPr/>
        <w:t xml:space="preserve">, </w:t>
      </w:r>
      <w:r>
        <w:rPr>
          <w:rStyle w:val="Style13"/>
        </w:rPr>
        <w:t>/integrations</w:t>
      </w:r>
      <w:r>
        <w:rPr/>
        <w:t xml:space="preserve">, </w:t>
      </w:r>
      <w:r>
        <w:rPr>
          <w:rStyle w:val="Style13"/>
        </w:rPr>
        <w:t>/deliveries</w:t>
      </w:r>
      <w:r>
        <w:rPr/>
        <w:t xml:space="preserve">, </w:t>
      </w:r>
      <w:r>
        <w:rPr>
          <w:rStyle w:val="Style13"/>
        </w:rPr>
        <w:t>/health</w:t>
      </w:r>
      <w:r>
        <w:rPr/>
        <w:t xml:space="preserve">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app.services</w:t>
      </w:r>
      <w:r>
        <w:rPr/>
        <w:t xml:space="preserve"> — сервисный слой предметной логики: проверка прав доступа, валидация переходов воронки, CAS-обновления, вычисление аналитических срезов;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app.security</w:t>
      </w:r>
      <w:r>
        <w:rPr/>
        <w:t xml:space="preserve"> — валидация JWT токенов по JWKS Keycloak в оперативной памяти, применение политики Zero-Oracle (отсутствие утечки метаданных);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app.integrations</w:t>
      </w:r>
      <w:r>
        <w:rPr/>
        <w:t xml:space="preserve"> — шлюз приёма и обработки событий LMS и Сайта, дедупликация через уникальный индекс, верификация HMAC подписей;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app.files</w:t>
      </w:r>
      <w:r>
        <w:rPr/>
        <w:t xml:space="preserve"> — приём файлов, проверка расширений (10 форматов ТЗ), потоковая отправка в ClamAV socket, хранение в защищённом томе с изоляцией прав.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2.4. Архитектурная модель в среде Archi (The Open Group ArchiMate 3.1)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Архитектура системы полностью специфицирована и верифицирована в профессиональной среде моделирования </w:t>
      </w:r>
      <w:r>
        <w:rPr>
          <w:rStyle w:val="Strong"/>
        </w:rPr>
        <w:t>Archi</w:t>
      </w:r>
      <w:r>
        <w:rPr/>
        <w:t xml:space="preserve">. В репозитории размещены эталонные артефакты: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docs/architecture/rtk-crm.archimate.xml</w:t>
      </w:r>
      <w:r>
        <w:rPr/>
        <w:t xml:space="preserve"> — переносимый обменный формат Open Exchange XML 3.1;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docs/architecture/rost_crm_architecture.archimate</w:t>
      </w:r>
      <w:r>
        <w:rPr/>
        <w:t xml:space="preserve"> — нативный файл проекта Archi.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Модель включает </w:t>
      </w:r>
      <w:r>
        <w:rPr>
          <w:rStyle w:val="Strong"/>
        </w:rPr>
        <w:t>39 архитектурных элементов, 45 типизированных связей и 2 детализированных представления</w:t>
      </w:r>
      <w:r>
        <w:rPr/>
        <w:t xml:space="preserve">: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Представление 01: «Функции, роли и границы модулей»</w:t>
      </w:r>
      <w:r>
        <w:rPr/>
        <w:t xml:space="preserve"> — отображает сквозной путь бизнес-пользователей (Менеджер, Руководитель, Администратор) через бизнес-функции к прикладным компонентам CRM.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Представление 02: «Компоненты исполнения и технологические границы»</w:t>
      </w:r>
      <w:r>
        <w:rPr/>
        <w:t xml:space="preserve"> — отображает физическую топологию развёртывания (Nginx, FastAPI, PostgreSQL, Keycloak, ClamAV, Redis), протоколы обмена, механизмы восстановления и контуры отказоустойчивости.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Модель строго валидирована через Python </w:t>
      </w:r>
      <w:r>
        <w:rPr>
          <w:rStyle w:val="Style13"/>
        </w:rPr>
        <w:t>lxml</w:t>
      </w:r>
      <w:r>
        <w:rPr/>
        <w:t xml:space="preserve"> по официальной XSD-схеме </w:t>
      </w:r>
      <w:r>
        <w:rPr>
          <w:rStyle w:val="Style13"/>
        </w:rPr>
        <w:t>archimate3_Diagram.xsd</w:t>
      </w:r>
      <w:r>
        <w:rPr/>
        <w:t xml:space="preserve"> (SHA-256: </w:t>
      </w:r>
      <w:r>
        <w:rPr>
          <w:rStyle w:val="Style13"/>
        </w:rPr>
        <w:t>6419080f4c4bc43b...</w:t>
      </w:r>
      <w:r>
        <w:rPr/>
        <w:t xml:space="preserve">) с нулевым числом структурных расхождений.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2.5. Сетевая топология и контуры доверия</w:t>
      </w:r>
    </w:p>
    <w:tbl>
      <w:tblPr>
        <w:tblW w:w="10206" w:type="dxa"/>
        <w:jc w:val="start"/>
        <w:tblInd w:w="-30" w:type="dxa"/>
        <w:shd w:fill="ECFDF3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12B76A"/>
            </w:tcBorders>
            <w:shd w:fill="ECFDF3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Принцип нулевого доверия (Zero-Trust Network):</w:t>
            </w:r>
            <w:r>
              <w:rPr/>
              <w:br/>
              <w:t xml:space="preserve">Контейнеры СУБД </w:t>
            </w:r>
            <w:r>
              <w:rPr>
                <w:rStyle w:val="Style13"/>
              </w:rPr>
              <w:t>postgres</w:t>
            </w:r>
            <w:r>
              <w:rPr/>
              <w:t xml:space="preserve">, кэша </w:t>
            </w:r>
            <w:r>
              <w:rPr>
                <w:rStyle w:val="Style13"/>
              </w:rPr>
              <w:t>redis</w:t>
            </w:r>
            <w:r>
              <w:rPr/>
              <w:t xml:space="preserve"> и антивируса </w:t>
            </w:r>
            <w:r>
              <w:rPr>
                <w:rStyle w:val="Style13"/>
              </w:rPr>
              <w:t>clamav</w:t>
            </w:r>
            <w:r>
              <w:rPr/>
              <w:t xml:space="preserve"> подключены исключительно к внутренней изолированной сети </w:t>
            </w:r>
            <w:r>
              <w:rPr>
                <w:rStyle w:val="Style13"/>
              </w:rPr>
              <w:t>backend_net</w:t>
            </w:r>
            <w:r>
              <w:rPr/>
              <w:t xml:space="preserve"> (параметр </w:t>
            </w:r>
            <w:r>
              <w:rPr>
                <w:rStyle w:val="Style13"/>
              </w:rPr>
              <w:t>internal: true</w:t>
            </w:r>
            <w:r>
              <w:rPr/>
              <w:t xml:space="preserve">). Они не имеют выхода в глобальный интернет и недоступны из пользовательского сегмента сети. Публичный доступ осуществляется исключительно через обратный прокси-сервер Nginx по защищённому протоколу HTTPS.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3. Методы обработки данных, условия и ограничения (D01–D16)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3.1. Двухфазный импорт каталогов (D01–D04)</w:t>
      </w:r>
    </w:p>
    <w:p>
      <w:pPr>
        <w:pStyle w:val="BodyText"/>
        <w:bidi w:val="0"/>
        <w:spacing w:before="0" w:after="283"/>
        <w:jc w:val="start"/>
        <w:rPr/>
      </w:pPr>
      <w:r>
        <w:rPr/>
        <w:t>В соответствии с п. 4.1 ТЗ организации, контактные лица, ИТ-продукты и договоры подгружаются через веб-интерфейс в форматах Excel (</w:t>
      </w:r>
      <w:r>
        <w:rPr>
          <w:rStyle w:val="Style13"/>
        </w:rPr>
        <w:t>.xlsx</w:t>
      </w:r>
      <w:r>
        <w:rPr/>
        <w:t xml:space="preserve">, </w:t>
      </w:r>
      <w:r>
        <w:rPr>
          <w:rStyle w:val="Style13"/>
        </w:rPr>
        <w:t>.xls</w:t>
      </w:r>
      <w:r>
        <w:rPr/>
        <w:t xml:space="preserve">) и </w:t>
      </w:r>
      <w:r>
        <w:rPr>
          <w:rStyle w:val="Style13"/>
        </w:rPr>
        <w:t>.csv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Архитектурная реализация:</w:t>
      </w:r>
      <w:r>
        <w:rPr/>
        <w:t xml:space="preserve"> В соответствии с принципами надежности и разумного минимализма парсинг файлов реализован </w:t>
      </w:r>
      <w:r>
        <w:rPr>
          <w:rStyle w:val="Emphasis"/>
        </w:rPr>
        <w:t>исключительно средствами стандартной библиотеки Python</w:t>
      </w:r>
      <w:r>
        <w:rPr/>
        <w:t xml:space="preserve"> (</w:t>
      </w:r>
      <w:r>
        <w:rPr>
          <w:rStyle w:val="Style13"/>
        </w:rPr>
        <w:t>xml.sax</w:t>
      </w:r>
      <w:r>
        <w:rPr/>
        <w:t xml:space="preserve">, </w:t>
      </w:r>
      <w:r>
        <w:rPr>
          <w:rStyle w:val="Style13"/>
        </w:rPr>
        <w:t>zipfile</w:t>
      </w:r>
      <w:r>
        <w:rPr/>
        <w:t xml:space="preserve">, </w:t>
      </w:r>
      <w:r>
        <w:rPr>
          <w:rStyle w:val="Style13"/>
        </w:rPr>
        <w:t>csv</w:t>
      </w:r>
      <w:r>
        <w:rPr/>
        <w:t xml:space="preserve">, </w:t>
      </w:r>
      <w:r>
        <w:rPr>
          <w:rStyle w:val="Style13"/>
        </w:rPr>
        <w:t>io</w:t>
      </w:r>
      <w:r>
        <w:rPr/>
        <w:t xml:space="preserve">) без привлечения тяжелых сторонних зависимостей. Это исключает риски уязвимостей разбора XML (XXE, XML Entity Expansion) и снижает потребление памяти при обработке больших реестров. </w:t>
      </w:r>
    </w:p>
    <w:tbl>
      <w:tblPr>
        <w:tblW w:w="10206" w:type="dxa"/>
        <w:jc w:val="start"/>
        <w:tblInd w:w="-30" w:type="dxa"/>
        <w:shd w:fill="F8F9FC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7700FF"/>
            </w:tcBorders>
            <w:shd w:fill="F8F9FC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Двухфазный протокол импорта (Two-Phase Commit):</w:t>
            </w:r>
            <w:r>
              <w:rPr/>
              <w:br/>
              <w:t xml:space="preserve">• </w:t>
            </w:r>
            <w:r>
              <w:rPr>
                <w:rStyle w:val="Strong"/>
              </w:rPr>
              <w:t xml:space="preserve">Фаза 1: Предпросмотр (Preview, </w:t>
            </w:r>
            <w:r>
              <w:rPr>
                <w:rStyle w:val="Style13"/>
              </w:rPr>
              <w:t>POST /api/v1/catalogs/import/preview</w:t>
            </w:r>
            <w:r>
              <w:rPr>
                <w:rStyle w:val="Strong"/>
              </w:rPr>
              <w:t>)</w:t>
            </w:r>
            <w:r>
              <w:rPr/>
              <w:t xml:space="preserve"> — парсинг структуры, валидация обязательных полей (Название ВУЗа, Вендор, ПО, Номер договора, Срок действия), проверка существования связанных сущностей. Пользователю возвращается сводка: число корректных строк, детальный список ошибок с указанием номеров строк и таблица сопоставления полей.</w:t>
              <w:br/>
              <w:t xml:space="preserve">• </w:t>
            </w:r>
            <w:r>
              <w:rPr>
                <w:rStyle w:val="Strong"/>
              </w:rPr>
              <w:t xml:space="preserve">Фаза 2: Применение (Commit, </w:t>
            </w:r>
            <w:r>
              <w:rPr>
                <w:rStyle w:val="Style13"/>
              </w:rPr>
              <w:t>POST /api/v1/catalogs/import/commit</w:t>
            </w:r>
            <w:r>
              <w:rPr>
                <w:rStyle w:val="Strong"/>
              </w:rPr>
              <w:t>)</w:t>
            </w:r>
            <w:r>
              <w:rPr/>
              <w:t xml:space="preserve"> — атомарная запись проверенных данных в транзакции БД с оптимистической блокировкой CAS. 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3.2. Воронка жизненного цикла и правила переходов (D05–D06)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Жизненный цикл сделки включает </w:t>
      </w:r>
      <w:r>
        <w:rPr>
          <w:rStyle w:val="Strong"/>
        </w:rPr>
        <w:t>15 рабочих состояний и 29 строго валидированных переходов</w:t>
      </w:r>
      <w:r>
        <w:rPr/>
        <w:t xml:space="preserve"> (соответствуют 14 этапам ТЗ, расширенному этапу актуализации и 2 терминальным состояниям — «Завершено успешно» и «Отменено»).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373"/>
        <w:gridCol w:w="2735"/>
        <w:gridCol w:w="5098"/>
      </w:tblGrid>
      <w:tr>
        <w:trPr/>
        <w:tc>
          <w:tcPr>
            <w:tcW w:w="237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Код статуса</w:t>
            </w:r>
          </w:p>
        </w:tc>
        <w:tc>
          <w:tcPr>
            <w:tcW w:w="273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Наименование этапа (workflow)</w:t>
            </w:r>
          </w:p>
        </w:tc>
        <w:tc>
          <w:tcPr>
            <w:tcW w:w="509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Бизнес-правила и ограничения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contact_search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1. Поиск контактов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Начальный статус. Требуется привязка организации.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needs_clarification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 Уточнение потребности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Требуется указание ИТ-направления.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meeting_scheduled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3. Назначение встречи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Фиксация даты и состава участников в комментарии.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document_exchange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4. Обмен документами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Разрешено прикрепление проектов соглашений (до 25 МБ).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document_revision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5. Корректировка документов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Опциональный этап правок перед подписанием.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document_signing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6. Подписание документов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Обязательное указание номера и даты договора.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materials_transfer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7. Передача материалов и лицензий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Требуется указание передаваемого ПО и срока действия лицензий.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implementation_support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8. Сопровождение внедрения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Мониторинг развёртывания ПО в инфраструктуре вуза.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teacher_training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9. Обучение преподавателей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Фиксация списков обученных педагогов.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program_update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10. Актуализация учебной программы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Интеграция ИТ-продукта в учебные планы.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classes_conducting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11. Ведение занятий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Основной этап образовательного процесса.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materials_update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12. Обновление материалов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Актуализация документации и методических пособий.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qualification_upgrade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13. Повышение квалификации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Регулярная переподготовка педагогического состава.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monitoring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14. Контроль исполнения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Итоговая оценка метрик и востребованности курса.</w:t>
            </w:r>
          </w:p>
        </w:tc>
      </w:tr>
      <w:tr>
        <w:trPr/>
        <w:tc>
          <w:tcPr>
            <w:tcW w:w="237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completed</w:t>
            </w:r>
            <w:r>
              <w:rPr/>
              <w:t xml:space="preserve"> / </w:t>
            </w:r>
            <w:r>
              <w:rPr>
                <w:rStyle w:val="Style13"/>
              </w:rPr>
              <w:t>cancelled</w:t>
            </w:r>
          </w:p>
        </w:tc>
        <w:tc>
          <w:tcPr>
            <w:tcW w:w="273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Завершено / Отменено</w:t>
            </w:r>
          </w:p>
        </w:tc>
        <w:tc>
          <w:tcPr>
            <w:tcW w:w="509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 xml:space="preserve">Терминальные статусы. </w:t>
            </w:r>
            <w:r>
              <w:rPr>
                <w:rStyle w:val="Strong"/>
              </w:rPr>
              <w:t>Обязателен комментарий причины!</w:t>
            </w:r>
            <w:r>
              <w:rPr/>
              <w:t xml:space="preserve"> Выход из терминального статуса невозможен.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3.3. Аналитический движок отчётов и защита от инъекций (D07–D09)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4.2 и 4.4 ТЗ CRM формирует сводные аналитические отчёты за выбранный период по вузам, программам, продуктам и ответственным сотрудникам.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Три аналитических режима: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Срезовый отчёт (Snapshot, </w:t>
      </w:r>
      <w:r>
        <w:rPr>
          <w:rStyle w:val="Style13"/>
        </w:rPr>
        <w:t>/api/v1/reports/snapshot</w:t>
      </w:r>
      <w:r>
        <w:rPr>
          <w:rStyle w:val="Strong"/>
        </w:rPr>
        <w:t>)</w:t>
      </w:r>
      <w:r>
        <w:rPr/>
        <w:t xml:space="preserve"> — математически точное состояние всех взаимодействий на фиксированный момент времени </w:t>
      </w:r>
      <w:r>
        <w:rPr>
          <w:rStyle w:val="Style13"/>
        </w:rPr>
        <w:t>as_of_inclusive</w:t>
      </w:r>
      <w:r>
        <w:rPr/>
        <w:t xml:space="preserve">. Вычисляет исторического ответственного и исторический статус на основе журнала событий;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 xml:space="preserve">Отчёт по активности (Activity, </w:t>
      </w:r>
      <w:r>
        <w:rPr>
          <w:rStyle w:val="Style13"/>
        </w:rPr>
        <w:t>/api/v1/reports/activity</w:t>
      </w:r>
      <w:r>
        <w:rPr>
          <w:rStyle w:val="Strong"/>
        </w:rPr>
        <w:t>)</w:t>
      </w:r>
      <w:r>
        <w:rPr/>
        <w:t xml:space="preserve"> — агрегирует фактические действия за интервал дат: проведённые встречи, подписанные договоры, переданные лицензии (с защитой от дублирования по AC13);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Накопительный отчёт (Created, </w:t>
      </w:r>
      <w:r>
        <w:rPr>
          <w:rStyle w:val="Style13"/>
        </w:rPr>
        <w:t>/api/v1/reports/created</w:t>
      </w:r>
      <w:r>
        <w:rPr>
          <w:rStyle w:val="Strong"/>
        </w:rPr>
        <w:t>)</w:t>
      </w:r>
      <w:r>
        <w:rPr/>
        <w:t xml:space="preserve"> — динамика появления новых взаимодействий по программам и организациям за период. </w:t>
      </w:r>
    </w:p>
    <w:tbl>
      <w:tblPr>
        <w:tblW w:w="10206" w:type="dxa"/>
        <w:jc w:val="start"/>
        <w:tblInd w:w="-30" w:type="dxa"/>
        <w:shd w:fill="F8F9FC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7700FF"/>
            </w:tcBorders>
            <w:shd w:fill="F8F9FC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Чистая генерация форматов (Pure Stdlib XLSX/PDF/CSV):</w:t>
            </w:r>
            <w:r>
              <w:rPr/>
              <w:br/>
              <w:t xml:space="preserve">Формирование XLSX осуществляется через генерацию OpenXML спецификации (XML + ZIP) стандартным модулем </w:t>
            </w:r>
            <w:r>
              <w:rPr>
                <w:rStyle w:val="Style13"/>
              </w:rPr>
              <w:t>zipfile</w:t>
            </w:r>
            <w:r>
              <w:rPr/>
              <w:t xml:space="preserve">. PDF формируется чистым генератором без сторонних бинарных утилит. Все ячейки экранируются от </w:t>
            </w:r>
            <w:r>
              <w:rPr>
                <w:rStyle w:val="Strong"/>
              </w:rPr>
              <w:t>CSV Formula Injection (CWE-1236)</w:t>
            </w:r>
            <w:r>
              <w:rPr/>
              <w:t xml:space="preserve">: значения, начинающиеся с символов </w:t>
            </w:r>
            <w:r>
              <w:rPr>
                <w:rStyle w:val="Style13"/>
              </w:rPr>
              <w:t xml:space="preserve">=, +, -, @, , </w:t>
            </w:r>
            <w:r>
              <w:rPr/>
              <w:t xml:space="preserve">, префиксируются апострофом </w:t>
            </w:r>
            <w:r>
              <w:rPr>
                <w:rStyle w:val="Style13"/>
              </w:rPr>
              <w:t>'</w:t>
            </w:r>
            <w:r>
              <w:rPr/>
              <w:t xml:space="preserve">. 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3.4. Интеграционный шлюз LMS и Сайта, отказоустойчивость AC21 (D10–D11)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 п. 4.5 ТЗ система автоматически забирает и принимает данные из внешних систем: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Канонический конверт v1.0 (Integration Envelope):</w:t>
      </w:r>
      <w:r>
        <w:rPr/>
        <w:t xml:space="preserve"> унифицированная схема обмена JSON с полями </w:t>
      </w:r>
      <w:r>
        <w:rPr>
          <w:rStyle w:val="Style13"/>
        </w:rPr>
        <w:t>event_id</w:t>
      </w:r>
      <w:r>
        <w:rPr/>
        <w:t xml:space="preserve">, </w:t>
      </w:r>
      <w:r>
        <w:rPr>
          <w:rStyle w:val="Style13"/>
        </w:rPr>
        <w:t>event_type</w:t>
      </w:r>
      <w:r>
        <w:rPr/>
        <w:t xml:space="preserve">, </w:t>
      </w:r>
      <w:r>
        <w:rPr>
          <w:rStyle w:val="Style13"/>
        </w:rPr>
        <w:t>source</w:t>
      </w:r>
      <w:r>
        <w:rPr/>
        <w:t xml:space="preserve">, </w:t>
      </w:r>
      <w:r>
        <w:rPr>
          <w:rStyle w:val="Style13"/>
        </w:rPr>
        <w:t>timestamp</w:t>
      </w:r>
      <w:r>
        <w:rPr/>
        <w:t xml:space="preserve">, </w:t>
      </w:r>
      <w:r>
        <w:rPr>
          <w:rStyle w:val="Style13"/>
        </w:rPr>
        <w:t>payload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Двойная защита от дубликатов:</w:t>
      </w:r>
      <w:r>
        <w:rPr/>
        <w:t xml:space="preserve"> ограничение целостности БД </w:t>
      </w:r>
      <w:r>
        <w:rPr>
          <w:rStyle w:val="Style13"/>
        </w:rPr>
        <w:t>uq_inbox_dedup (source, external_id)</w:t>
      </w:r>
      <w:r>
        <w:rPr/>
        <w:t xml:space="preserve"> гарантирует идемпотентность при повторных сетевых вызовах;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Криптографическая верификация:</w:t>
      </w:r>
      <w:r>
        <w:rPr/>
        <w:t xml:space="preserve"> заголовок </w:t>
      </w:r>
      <w:r>
        <w:rPr>
          <w:rStyle w:val="Style13"/>
        </w:rPr>
        <w:t>X-Signature-SHA256</w:t>
      </w:r>
      <w:r>
        <w:rPr/>
        <w:t xml:space="preserve"> проверяется через безопасное по времени сравнение </w:t>
      </w:r>
      <w:r>
        <w:rPr>
          <w:rStyle w:val="Style13"/>
        </w:rPr>
        <w:t>hmac.compare_digest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Отказоустойчивость и сохранение данных (AC21):</w:t>
      </w:r>
      <w:r>
        <w:rPr/>
        <w:t xml:space="preserve"> при возникновении сбоев внешних систем (HTTP 500, 502, 503, 504 Gateway Timeout) или ошибок валидации формы введённый пользователем текст </w:t>
      </w:r>
      <w:r>
        <w:rPr>
          <w:rStyle w:val="Emphasis"/>
        </w:rPr>
        <w:t>никогда не сбрасывается</w:t>
      </w:r>
      <w:r>
        <w:rPr/>
        <w:t xml:space="preserve">, а сетевые пакеты сохраняются в очереди повторной синхронизации.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3.5. Инварианты информационной безопасности (152-ФЗ, ФСТЭК №117)</w:t>
      </w:r>
    </w:p>
    <w:tbl>
      <w:tblPr>
        <w:tblW w:w="10206" w:type="dxa"/>
        <w:jc w:val="start"/>
        <w:tblInd w:w="-30" w:type="dxa"/>
        <w:shd w:fill="FFFAEB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F79009"/>
            </w:tcBorders>
            <w:shd w:fill="FFFAEB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Обязательные требования защищённости информации:</w:t>
            </w:r>
            <w:r>
              <w:rPr/>
              <w:br/>
              <w:t xml:space="preserve">1. </w:t>
            </w:r>
            <w:r>
              <w:rPr>
                <w:rStyle w:val="Strong"/>
              </w:rPr>
              <w:t>Сокрытие существования чужих данных (Zero-Oracle Principle):</w:t>
            </w:r>
            <w:r>
              <w:rPr/>
              <w:t xml:space="preserve"> попытка несанкционированного обращения менеджера к взаимодействию чужого вуза или куратора возвращает строгий код </w:t>
            </w:r>
            <w:r>
              <w:rPr>
                <w:rStyle w:val="Style13"/>
              </w:rPr>
              <w:t>404 Not Found</w:t>
            </w:r>
            <w:r>
              <w:rPr/>
              <w:t xml:space="preserve"> вместо </w:t>
            </w:r>
            <w:r>
              <w:rPr>
                <w:rStyle w:val="Style13"/>
              </w:rPr>
              <w:t>403 Forbidden</w:t>
            </w:r>
            <w:r>
              <w:rPr/>
              <w:t>, исключая разведку идентификаторов.</w:t>
              <w:br/>
              <w:t xml:space="preserve">2. </w:t>
            </w:r>
            <w:r>
              <w:rPr>
                <w:rStyle w:val="Strong"/>
              </w:rPr>
              <w:t>Хранение токенов strictly in-memory:</w:t>
            </w:r>
            <w:r>
              <w:rPr/>
              <w:t xml:space="preserve"> JWT токены сессии хранятся исключительно в оперативной памяти JavaScript-контекста. Использование </w:t>
            </w:r>
            <w:r>
              <w:rPr>
                <w:rStyle w:val="Style13"/>
              </w:rPr>
              <w:t>localStorage</w:t>
            </w:r>
            <w:r>
              <w:rPr/>
              <w:t xml:space="preserve"> или </w:t>
            </w:r>
            <w:r>
              <w:rPr>
                <w:rStyle w:val="Style13"/>
              </w:rPr>
              <w:t>sessionStorage</w:t>
            </w:r>
            <w:r>
              <w:rPr/>
              <w:t xml:space="preserve"> категорически запрещено (защита от XSS-кражи токенов).</w:t>
              <w:br/>
              <w:t xml:space="preserve">3. </w:t>
            </w:r>
            <w:r>
              <w:rPr>
                <w:rStyle w:val="Strong"/>
              </w:rPr>
              <w:t>Потоковый антивирусный контроль ClamAV:</w:t>
            </w:r>
            <w:r>
              <w:rPr/>
              <w:t xml:space="preserve"> файлы сканируются на лету через сокет демона до сохранения на файловую систему. Загрузка вирусных сигнатур (включая тестовый EICAR-Standard) немедленно прерывается с возвратом ошибки карантина.</w:t>
              <w:br/>
              <w:t xml:space="preserve">4. </w:t>
            </w:r>
            <w:r>
              <w:rPr>
                <w:rStyle w:val="Strong"/>
              </w:rPr>
              <w:t>Валидация типов файлов:</w:t>
            </w:r>
            <w:r>
              <w:rPr/>
              <w:t xml:space="preserve"> проверка по белому списку из 10 расширений ТЗ (</w:t>
            </w:r>
            <w:r>
              <w:rPr>
                <w:rStyle w:val="Style13"/>
              </w:rPr>
              <w:t>png, jpeg, pdf, zip, gzip, rar, doc, docx, xls, xlsx</w:t>
            </w:r>
            <w:r>
              <w:rPr/>
              <w:t xml:space="preserve">) с валидацией Magic Bytes заголовков. Максимальный размер файла строго ограничен 25 МБ (26 214 400 байт).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4. Руководство пользователя (User Guide)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4.1. Вход в систему и ролевая навигация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Доступ к CRM осуществляется через современный веб-браузер (Google Chrome, Яндекс.Браузер, Mozilla Firefox) по корпоративному адресу системы. При первом обращении пользователь автоматически перенаправляется на защищённую форму входа единого центра аутентификации Keycloak. 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После успешного ввода логина и пароля пользователь возвращается в рабочее пространство CRM. Боковое меню адаптируется в зависимости от назначенной роли: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Менеджер видит разделы: «Обзор», «Взаимодействия», «Отчёты», «Справочники», «Помощь»;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Руководитель дополнительно получает доступ к фильтрации по сотрудникам команды и переназначению кураторов;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Администратор дополнительно получает пункт меню «Интеграции» для управления вебхуками и фоновыми задачами.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4.2. Рабочий обзор (Dashboard)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Главный экран системы предоставляет менеджеру оперативную сводку по ключевым показателям: общее число взаимодействий, количество активных процессов, число уникальных образовательных организаций-партнёров и воронку этапов сотрудничества.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6191250" cy="3867150"/>
            <wp:effectExtent l="0" t="0" r="0" b="0"/>
            <wp:docPr id="1" name="Изображение1" title="Рабочий обзор менедж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title="Рабочий обзор менеджер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3" t="-261" r="0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1 — Экран «Обзор» рабочего пространства менеджера (Анна Смирнова)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4.3. Реестр и поиск взаимодействий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Раздел «Взаимодействия» содержит интерактивную таблицу всех процессов сотрудничества в пределах полномочий пользователя. Предусмотрена мгновенная фильтрация по: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Наименованию вуза или организации (поиск по подстроке);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ИТ-программе и цифровому продукту;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Текущему статусу жизненного цикла (воронка);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Ответственному менеджеру (для руководителя).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4.4. Карточка взаимодействия: воронка, параметры, документооборот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Карточка взаимодействия является единым центром управления сотрудничеством по конкретной образовательной программе. Экран разбит на логические блоки: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Граф жизненного цикла:</w:t>
      </w:r>
      <w:r>
        <w:rPr/>
        <w:t xml:space="preserve"> наглядная визуализация всех 15 этапов с цветовой индикацией текущего шага и кнопками допустимых переходов;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Параметры сотрудничества:</w:t>
      </w:r>
      <w:r>
        <w:rPr/>
        <w:t xml:space="preserve"> номер договора, статус лицензий, учебный контингент, ссылка на программу;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Документооборот и вложения:</w:t>
      </w:r>
      <w:r>
        <w:rPr/>
        <w:t xml:space="preserve"> зона Drag-and-Drop для прикрепления файлов (соглашения, акты, учебные материалы) с валидацией размера до 25 МБ и антивирусным контролем;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Журнал решений и переписка:</w:t>
      </w:r>
      <w:r>
        <w:rPr/>
        <w:t xml:space="preserve"> хронологическая лента событий с фильтрами («Все», «Комментарии», «Этапы workflow»).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6191250" cy="3867150"/>
            <wp:effectExtent l="0" t="0" r="0" b="0"/>
            <wp:docPr id="2" name="Изображение2" title="Карточка взаимодействия и документообор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title="Карточка взаимодействия и документооборот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3" t="-261" r="0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2 — Блок документооборота и воронка этапов в карточке взаимодействия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4.5. Каталоги организаций и назначение кураторов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разделе «Справочники» ведётся единый реестр партнёрских организаций, вендоров программного обеспечения и контактных лиц. Руководитель или администратор может в один клик назначить или переназначить ответственного куратора без перезагрузки страницы (SPA).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6191250" cy="3867150"/>
            <wp:effectExtent l="0" t="0" r="0" b="0"/>
            <wp:docPr id="3" name="Изображение3" title="Назначение куратора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title="Назначение куратора организации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63" t="-261" r="0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3 — Модальное окно закрепления ответственного менеджера за организацией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4.6. Построение аналитических отчётов и экспорт (XLSX, PDF, CSV)</w:t>
      </w:r>
    </w:p>
    <w:p>
      <w:pPr>
        <w:pStyle w:val="BodyText"/>
        <w:bidi w:val="0"/>
        <w:spacing w:before="0" w:after="283"/>
        <w:jc w:val="start"/>
        <w:rPr/>
      </w:pPr>
      <w:r>
        <w:rPr/>
        <w:t>Модуль «Отчёты» позволяет за несколько секунд сформировать аналитическую выгрузку за произвольный период времени с выбором колонок. Экспорт осуществляется в форматах Excel (</w:t>
      </w:r>
      <w:r>
        <w:rPr>
          <w:rStyle w:val="Style13"/>
        </w:rPr>
        <w:t>.xlsx</w:t>
      </w:r>
      <w:r>
        <w:rPr/>
        <w:t>), Adobe PDF (</w:t>
      </w:r>
      <w:r>
        <w:rPr>
          <w:rStyle w:val="Style13"/>
        </w:rPr>
        <w:t>.pdf</w:t>
      </w:r>
      <w:r>
        <w:rPr/>
        <w:t xml:space="preserve">) и </w:t>
      </w:r>
      <w:r>
        <w:rPr>
          <w:rStyle w:val="Style13"/>
        </w:rPr>
        <w:t>.csv</w:t>
      </w:r>
      <w:r>
        <w:rPr/>
        <w:t xml:space="preserve">. Скачивание запускается мгновенно без блокировки интерфейса.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4.7. Справочный центр и симулятор сбоев (AC21 Fault Simulator)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Раздел «Помощь» содержит актуальные регламенты работы, матрицу переходов воронки и встроенный </w:t>
      </w:r>
      <w:r>
        <w:rPr>
          <w:rStyle w:val="Strong"/>
        </w:rPr>
        <w:t>интерактивный симулятор отказоустойчивости (AC21 Error Simulator)</w:t>
      </w:r>
      <w:r>
        <w:rPr/>
        <w:t xml:space="preserve">. Пользователь может протестировать реакцию интерфейса на типовые ошибки (CAS Mismatch 409, лимит файла 413, карантин вируса 422, тайм-аут шлюза 504) и убедиться в 100% сохранности введенного текста формы.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6191250" cy="3867150"/>
            <wp:effectExtent l="0" t="0" r="0" b="0"/>
            <wp:docPr id="4" name="Изображение4" title="Симулятор сбоев и обработка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title="Симулятор сбоев и обработка ошибок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63" t="-261" r="0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4 — Интерактивный симулятор сетевых ошибок и проверка сохранности данных формы</w:t>
      </w:r>
    </w:p>
    <w:p>
      <w:pPr>
        <w:pStyle w:val="Heading1"/>
        <w:bidi w:val="0"/>
        <w:ind w:hanging="0" w:start="0" w:end="0"/>
        <w:jc w:val="start"/>
        <w:rPr/>
      </w:pPr>
      <w:r>
        <w:rPr/>
        <w:t>5. Руководство системного администратора (Admin Guide)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5.1. Управление доступом, ролями и сессиями в Keycloak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Аутентификация пользователей построена на промышленном сервере Keycloak 26. Консоль администрирования Keycloak доступна системному администратору по адресу </w:t>
      </w:r>
      <w:r>
        <w:rPr>
          <w:rStyle w:val="Style13"/>
        </w:rPr>
        <w:t>http://&lt;хост&gt;:8080/admin</w:t>
      </w:r>
      <w:r>
        <w:rPr/>
        <w:t xml:space="preserve">. 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Предустановленный realm:</w:t>
      </w:r>
      <w:r>
        <w:rPr/>
        <w:t xml:space="preserve"> </w:t>
      </w:r>
      <w:r>
        <w:rPr>
          <w:rStyle w:val="Style13"/>
        </w:rPr>
        <w:t>rtk-crm</w:t>
      </w:r>
      <w:r>
        <w:rPr/>
        <w:t>.</w:t>
        <w:br/>
      </w:r>
      <w:r>
        <w:rPr>
          <w:rStyle w:val="Strong"/>
        </w:rPr>
        <w:t>Клиент веб-приложения:</w:t>
      </w:r>
      <w:r>
        <w:rPr/>
        <w:t xml:space="preserve"> </w:t>
      </w:r>
      <w:r>
        <w:rPr>
          <w:rStyle w:val="Style13"/>
        </w:rPr>
        <w:t>rtk-crm-web</w:t>
      </w:r>
      <w:r>
        <w:rPr/>
        <w:t xml:space="preserve"> (Access Type: Public, Standard Flow Enabled, Direct Access Grants Disabled, PKCE Code Challenge Method: S256). </w:t>
      </w:r>
    </w:p>
    <w:p>
      <w:pPr>
        <w:pStyle w:val="BodyText"/>
        <w:keepLines/>
        <w:bidi w:val="0"/>
        <w:spacing w:before="300" w:after="300"/>
        <w:ind w:hanging="0" w:start="300" w:end="300"/>
        <w:jc w:val="center"/>
        <w:rPr/>
      </w:pPr>
      <w:r>
        <w:rPr/>
        <w:drawing>
          <wp:inline distT="0" distB="0" distL="0" distR="0">
            <wp:extent cx="6191250" cy="3867150"/>
            <wp:effectExtent l="0" t="0" r="0" b="0"/>
            <wp:docPr id="5" name="Изображение5" title="Панель админист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title="Панель администратора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63" t="-261" r="0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5DD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90" w:after="283"/>
        <w:ind w:hanging="0" w:start="300" w:end="300"/>
        <w:jc w:val="center"/>
        <w:rPr>
          <w:i/>
          <w:color w:val="475467"/>
          <w:sz w:val="18"/>
        </w:rPr>
      </w:pPr>
      <w:r>
        <w:rPr>
          <w:i/>
          <w:color w:val="475467"/>
          <w:sz w:val="18"/>
        </w:rPr>
        <w:t>Рисунок 5 — Рабочее пространство администратора с разделом мониторинга интеграций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5.2. Мониторинг интеграционного шлюза и журнала вебхуков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разделе «Интеграции» администратор отслеживает статус очередей входящих пакетов из LMS Zion и сайта ИТ Школы: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Просмотр входящих пакетов в таблице </w:t>
      </w:r>
      <w:r>
        <w:rPr>
          <w:rStyle w:val="Style13"/>
        </w:rPr>
        <w:t>inbox_messages</w:t>
      </w:r>
      <w:r>
        <w:rPr/>
        <w:t xml:space="preserve">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Статус обработки (</w:t>
      </w:r>
      <w:r>
        <w:rPr>
          <w:rStyle w:val="Style13"/>
        </w:rPr>
        <w:t>pending</w:t>
      </w:r>
      <w:r>
        <w:rPr/>
        <w:t xml:space="preserve">, </w:t>
      </w:r>
      <w:r>
        <w:rPr>
          <w:rStyle w:val="Style13"/>
        </w:rPr>
        <w:t>processed</w:t>
      </w:r>
      <w:r>
        <w:rPr/>
        <w:t xml:space="preserve">, </w:t>
      </w:r>
      <w:r>
        <w:rPr>
          <w:rStyle w:val="Style13"/>
        </w:rPr>
        <w:t>failed</w:t>
      </w:r>
      <w:r>
        <w:rPr/>
        <w:t xml:space="preserve">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Детализация ошибок обработки JSON-пейлоада и возможность принудительного перезапуска синхронизации;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Проверка валидности криптографических подписей HMAC-SHA256.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5.3. Диагностика здоровья сервисов (/health/live, /health/ready)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Для интеграции с системами оркестрации (Kubernetes, Docker Swarm) и мониторинга (Prometheus, Zabbix) сервер предоставляет стандартные диагностические пробы: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/health/live</w:t>
      </w:r>
      <w:r>
        <w:rPr/>
        <w:t xml:space="preserve"> — Liveness probe. Возвращает </w:t>
      </w:r>
      <w:r>
        <w:rPr>
          <w:rStyle w:val="Style13"/>
        </w:rPr>
        <w:t>200 OK</w:t>
      </w:r>
      <w:r>
        <w:rPr/>
        <w:t xml:space="preserve">, если процесс FastAPI запущен и принимает сетевые соединения;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GET /health/ready</w:t>
      </w:r>
      <w:r>
        <w:rPr/>
        <w:t xml:space="preserve"> — Readiness probe. Проверяет активность пула соединений с БД PostgreSQL, доступность Redis и демона ClamAV. Возвращает </w:t>
      </w:r>
      <w:r>
        <w:rPr>
          <w:rStyle w:val="Style13"/>
        </w:rPr>
        <w:t>200 OK</w:t>
      </w:r>
      <w:r>
        <w:rPr/>
        <w:t xml:space="preserve"> при полной готовности к обслуживанию трафика.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5.4. Регламент резервного копирования и восстановления данных</w:t>
      </w:r>
    </w:p>
    <w:tbl>
      <w:tblPr>
        <w:tblW w:w="10206" w:type="dxa"/>
        <w:jc w:val="start"/>
        <w:tblInd w:w="-30" w:type="dxa"/>
        <w:shd w:fill="F8F9FC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7700FF"/>
            </w:tcBorders>
            <w:shd w:fill="F8F9FC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Резервное копирование БД PostgreSQL:</w:t>
            </w:r>
            <w:r>
              <w:rPr/>
              <w:br/>
            </w:r>
            <w:r>
              <w:rPr>
                <w:rStyle w:val="Style13"/>
              </w:rPr>
              <w:t>docker compose exec -T postgres pg_dump -U rtk_bootstrap rtk_crm | gzip &gt; backup_crm_$(date +%Y%m%d_%H%M%S).sql.gz</w:t>
            </w:r>
            <w:r>
              <w:rPr/>
              <w:br/>
              <w:br/>
            </w:r>
            <w:r>
              <w:rPr>
                <w:rStyle w:val="Strong"/>
              </w:rPr>
              <w:t>Резервное копирование файлового хранилища:</w:t>
            </w:r>
            <w:r>
              <w:rPr/>
              <w:br/>
            </w:r>
            <w:r>
              <w:rPr>
                <w:rStyle w:val="Style13"/>
              </w:rPr>
              <w:t>docker run --rm -v rtk-crm_storage-data:/data -v $(pwd):/backup alpine tar -czf /backup/storage_$(date +%Y%m%d).tar.gz -C /data .</w:t>
            </w:r>
            <w:r>
              <w:rPr/>
              <w:t xml:space="preserve">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6. Инструкция по сборке, компиляции и установке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6.1. Системные требования к серверам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964"/>
        <w:gridCol w:w="7242"/>
      </w:tblGrid>
      <w:tr>
        <w:trPr/>
        <w:tc>
          <w:tcPr>
            <w:tcW w:w="296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724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Минимальные требования</w:t>
            </w:r>
          </w:p>
        </w:tc>
      </w:tr>
      <w:tr>
        <w:trPr/>
        <w:tc>
          <w:tcPr>
            <w:tcW w:w="296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Операционная система</w:t>
            </w:r>
          </w:p>
        </w:tc>
        <w:tc>
          <w:tcPr>
            <w:tcW w:w="72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Linux (Ubuntu 22.04 / 24.04 LTS, Astra Linux Special Edition 1.7+, РЕД ОС 7.3+, Rocky Linux 9)</w:t>
            </w:r>
          </w:p>
        </w:tc>
      </w:tr>
      <w:tr>
        <w:trPr/>
        <w:tc>
          <w:tcPr>
            <w:tcW w:w="296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Процессор (CPU)</w:t>
            </w:r>
          </w:p>
        </w:tc>
        <w:tc>
          <w:tcPr>
            <w:tcW w:w="72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 ядра (x86_64), базовая частота от 2.4 ГГц</w:t>
            </w:r>
          </w:p>
        </w:tc>
      </w:tr>
      <w:tr>
        <w:trPr/>
        <w:tc>
          <w:tcPr>
            <w:tcW w:w="296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Оперативная память (RAM)</w:t>
            </w:r>
          </w:p>
        </w:tc>
        <w:tc>
          <w:tcPr>
            <w:tcW w:w="72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4 ГБ (рекомендуется 8 ГБ с учётом антивирусных баз ClamAV)</w:t>
            </w:r>
          </w:p>
        </w:tc>
      </w:tr>
      <w:tr>
        <w:trPr/>
        <w:tc>
          <w:tcPr>
            <w:tcW w:w="296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Дисковое пространство</w:t>
            </w:r>
          </w:p>
        </w:tc>
        <w:tc>
          <w:tcPr>
            <w:tcW w:w="724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20 ГБ свободного места на SSD (хранение БД, логов и вложений)</w:t>
            </w:r>
          </w:p>
        </w:tc>
      </w:tr>
      <w:tr>
        <w:trPr/>
        <w:tc>
          <w:tcPr>
            <w:tcW w:w="296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Программное обеспечение</w:t>
            </w:r>
          </w:p>
        </w:tc>
        <w:tc>
          <w:tcPr>
            <w:tcW w:w="724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Docker Engine 24.0+ и Docker Compose v2.20+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6.2. Пошаговое развёртывание в Docker Compose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Комплекс спроектирован по стандарту Infrastructure as Code (IaC) и разворачивается единой командой без необходимости ручной компиляции модулей.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1. Клонирование репозитория с исходным кодом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git clone &lt;URL_РЕПОЗИТОРИЯ&gt; 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cd 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2. Создание файла переменных окружения из эталонного шаблона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cp .env.example .env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3. Валидация синтаксиса конфигурации Docker Compose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config --quiet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4. Сборка и запуск всех сервисов в фоновом режиме с ожиданием readiness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up --build --detach --wait --wait-timeout 240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# 5. Проверка статуса запущенных контейнеров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ps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6.3. Инициализация и сидирование демонстрационных данных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Сразу после запуска контейнеров база данных инициализирована. Для наполнения CRM реалистичными тестовыми данными (организации, программы, воронка взаимодействий, вложения) выполните команду сидирования: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docker compose exec api python -m app.seed --seed-demo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Предустановленные тестовые учётные записи для проверки:</w:t>
      </w:r>
      <w:r>
        <w:rPr/>
        <w:t xml:space="preserve">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1325"/>
        <w:gridCol w:w="2478"/>
        <w:gridCol w:w="1709"/>
        <w:gridCol w:w="4694"/>
      </w:tblGrid>
      <w:tr>
        <w:trPr/>
        <w:tc>
          <w:tcPr>
            <w:tcW w:w="132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Логин</w:t>
            </w:r>
          </w:p>
        </w:tc>
        <w:tc>
          <w:tcPr>
            <w:tcW w:w="247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Пароль по умолчанию</w:t>
            </w:r>
          </w:p>
        </w:tc>
        <w:tc>
          <w:tcPr>
            <w:tcW w:w="170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Роль</w:t>
            </w:r>
          </w:p>
        </w:tc>
        <w:tc>
          <w:tcPr>
            <w:tcW w:w="469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ФИО и область доступа</w:t>
            </w:r>
          </w:p>
        </w:tc>
      </w:tr>
      <w:tr>
        <w:trPr/>
        <w:tc>
          <w:tcPr>
            <w:tcW w:w="13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manager-a</w:t>
            </w:r>
          </w:p>
        </w:tc>
        <w:tc>
          <w:tcPr>
            <w:tcW w:w="247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ManagerPass123!</w:t>
            </w:r>
          </w:p>
        </w:tc>
        <w:tc>
          <w:tcPr>
            <w:tcW w:w="170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manager</w:t>
            </w:r>
          </w:p>
        </w:tc>
        <w:tc>
          <w:tcPr>
            <w:tcW w:w="469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Анна Смирнова (Менеджер, личные взаимодействия)</w:t>
            </w:r>
          </w:p>
        </w:tc>
      </w:tr>
      <w:tr>
        <w:trPr/>
        <w:tc>
          <w:tcPr>
            <w:tcW w:w="13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manager-b</w:t>
            </w:r>
          </w:p>
        </w:tc>
        <w:tc>
          <w:tcPr>
            <w:tcW w:w="247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ManagerPass123!</w:t>
            </w:r>
          </w:p>
        </w:tc>
        <w:tc>
          <w:tcPr>
            <w:tcW w:w="170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manager</w:t>
            </w:r>
          </w:p>
        </w:tc>
        <w:tc>
          <w:tcPr>
            <w:tcW w:w="469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Михаил Васильев (Менеджер, личные взаимодействия)</w:t>
            </w:r>
          </w:p>
        </w:tc>
      </w:tr>
      <w:tr>
        <w:trPr/>
        <w:tc>
          <w:tcPr>
            <w:tcW w:w="132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supervisor-a</w:t>
            </w:r>
          </w:p>
        </w:tc>
        <w:tc>
          <w:tcPr>
            <w:tcW w:w="247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SupervisorPass123!</w:t>
            </w:r>
          </w:p>
        </w:tc>
        <w:tc>
          <w:tcPr>
            <w:tcW w:w="170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supervisor</w:t>
            </w:r>
          </w:p>
        </w:tc>
        <w:tc>
          <w:tcPr>
            <w:tcW w:w="469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Иван Руководитель (Руководитель команды North)</w:t>
            </w:r>
          </w:p>
        </w:tc>
      </w:tr>
      <w:tr>
        <w:trPr/>
        <w:tc>
          <w:tcPr>
            <w:tcW w:w="1325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admin</w:t>
            </w:r>
          </w:p>
        </w:tc>
        <w:tc>
          <w:tcPr>
            <w:tcW w:w="247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yle13"/>
              </w:rPr>
              <w:t>AdminPass123!</w:t>
            </w:r>
          </w:p>
        </w:tc>
        <w:tc>
          <w:tcPr>
            <w:tcW w:w="170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administrator</w:t>
            </w:r>
          </w:p>
        </w:tc>
        <w:tc>
          <w:tcPr>
            <w:tcW w:w="469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Администратор Платформы (Управление и аудит)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6.4. Настройка Nginx, SSL/TLS и публикация стенда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Входящий веб-трафик обслуживается высокопроизводительным контейнером Nginx. Конфигурация </w:t>
      </w:r>
      <w:r>
        <w:rPr>
          <w:rStyle w:val="Style13"/>
        </w:rPr>
        <w:t>deploy/nginx.conf</w:t>
      </w:r>
      <w:r>
        <w:rPr/>
        <w:t xml:space="preserve"> обеспечивает: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Максимальный размер тела запроса: </w:t>
      </w:r>
      <w:r>
        <w:rPr>
          <w:rStyle w:val="Style13"/>
        </w:rPr>
        <w:t>client_max_body_size 25m;</w:t>
      </w:r>
      <w:r>
        <w:rPr/>
        <w:t xml:space="preserve"> (строго соответствует лимиту файлов 25 МБ);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Сжатие текстовых данных Gzip (JSON, HTML, CSS, JS) для ответов размером от 1024 байт;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Сквозную передачу корреляционного заголовка </w:t>
      </w:r>
      <w:r>
        <w:rPr>
          <w:rStyle w:val="Style13"/>
        </w:rPr>
        <w:t>X-Request-ID</w:t>
      </w:r>
      <w:r>
        <w:rPr/>
        <w:t xml:space="preserve"> для распределённого аудита;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Заголовки безопасности: </w:t>
      </w:r>
      <w:r>
        <w:rPr>
          <w:rStyle w:val="Style13"/>
        </w:rPr>
        <w:t>X-Content-Type-Options: nosniff</w:t>
      </w:r>
      <w:r>
        <w:rPr/>
        <w:t xml:space="preserve">, </w:t>
      </w:r>
      <w:r>
        <w:rPr>
          <w:rStyle w:val="Style13"/>
        </w:rPr>
        <w:t>X-Frame-Options: SAMEORIGIN</w:t>
      </w:r>
      <w:r>
        <w:rPr/>
        <w:t xml:space="preserve">, </w:t>
      </w:r>
      <w:r>
        <w:rPr>
          <w:rStyle w:val="Style13"/>
        </w:rPr>
        <w:t>Content-Security-Policy</w:t>
      </w:r>
      <w:r>
        <w:rPr/>
        <w:t xml:space="preserve">. </w:t>
      </w:r>
    </w:p>
    <w:p>
      <w:pPr>
        <w:pStyle w:val="Heading1"/>
        <w:bidi w:val="0"/>
        <w:ind w:hanging="0" w:start="0" w:end="0"/>
        <w:jc w:val="start"/>
        <w:rPr/>
      </w:pPr>
      <w:r>
        <w:rPr/>
        <w:t>7. Реестр использованных сторонних библиотек и компонентов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7.1. Спецификация серверных зависимостей (Python Backend)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полном соответствии с принципами </w:t>
      </w:r>
      <w:r>
        <w:rPr>
          <w:rStyle w:val="Strong"/>
        </w:rPr>
        <w:t>минимизации внешних зависимостей (KISS/YAGNI)</w:t>
      </w:r>
      <w:r>
        <w:rPr/>
        <w:t xml:space="preserve"> бэкенд содержит строго </w:t>
      </w:r>
      <w:r>
        <w:rPr>
          <w:rStyle w:val="Strong"/>
        </w:rPr>
        <w:t>6 основных производственных зависимостей</w:t>
      </w:r>
      <w:r>
        <w:rPr/>
        <w:t xml:space="preserve">: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1804"/>
        <w:gridCol w:w="1089"/>
        <w:gridCol w:w="1471"/>
        <w:gridCol w:w="4735"/>
        <w:gridCol w:w="1107"/>
      </w:tblGrid>
      <w:tr>
        <w:trPr/>
        <w:tc>
          <w:tcPr>
            <w:tcW w:w="180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Библиотека</w:t>
            </w:r>
          </w:p>
        </w:tc>
        <w:tc>
          <w:tcPr>
            <w:tcW w:w="108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Версия</w:t>
            </w:r>
          </w:p>
        </w:tc>
        <w:tc>
          <w:tcPr>
            <w:tcW w:w="147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Лицензия</w:t>
            </w:r>
          </w:p>
        </w:tc>
        <w:tc>
          <w:tcPr>
            <w:tcW w:w="473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в архитектуре CRM</w:t>
            </w:r>
          </w:p>
        </w:tc>
        <w:tc>
          <w:tcPr>
            <w:tcW w:w="1107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CVE статус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fastapi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0.141.1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Асинхронный HTTP/REST API веб-фреймворк, маршрутизация, валидация DTO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uvicorn[standard]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0.53.0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BSD-3-Clause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Высокопроизводительный асинхронный ASGI-сервер с поддержкой uvloop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SQLAlchemy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2.0.54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Объектно-реляционное отображение (ORM 2.0 Core) и транзакционный доступ к БД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psycopg[binary]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3.3.6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LGPL-3.0-only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Нативный C-драйвер PostgreSQL 3.x с поддержкой prepared statements и CAS-блокировок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PyJWT[crypto]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2.14.0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Криптографическая валидация RS256 токенов Keycloak OIDC в оперативной памяти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80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pydantic</w:t>
            </w:r>
          </w:p>
        </w:tc>
        <w:tc>
          <w:tcPr>
            <w:tcW w:w="108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2.13.5</w:t>
            </w:r>
          </w:p>
        </w:tc>
        <w:tc>
          <w:tcPr>
            <w:tcW w:w="147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3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Строгая валидация и санитизация входных контрактов данных</w:t>
            </w:r>
          </w:p>
        </w:tc>
        <w:tc>
          <w:tcPr>
            <w:tcW w:w="1107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7.2. Спецификация клиентских зависимостей (React Frontend)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1662"/>
        <w:gridCol w:w="1186"/>
        <w:gridCol w:w="1416"/>
        <w:gridCol w:w="4756"/>
        <w:gridCol w:w="1186"/>
      </w:tblGrid>
      <w:tr>
        <w:trPr/>
        <w:tc>
          <w:tcPr>
            <w:tcW w:w="1662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Библиотека</w:t>
            </w:r>
          </w:p>
        </w:tc>
        <w:tc>
          <w:tcPr>
            <w:tcW w:w="118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Версия</w:t>
            </w:r>
          </w:p>
        </w:tc>
        <w:tc>
          <w:tcPr>
            <w:tcW w:w="141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Лицензия</w:t>
            </w:r>
          </w:p>
        </w:tc>
        <w:tc>
          <w:tcPr>
            <w:tcW w:w="475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Назначение в интерфейсе</w:t>
            </w:r>
          </w:p>
        </w:tc>
        <w:tc>
          <w:tcPr>
            <w:tcW w:w="118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CVE статус</w:t>
            </w:r>
          </w:p>
        </w:tc>
      </w:tr>
      <w:tr>
        <w:trPr/>
        <w:tc>
          <w:tcPr>
            <w:tcW w:w="166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react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19.3.0</w:t>
            </w:r>
          </w:p>
        </w:tc>
        <w:tc>
          <w:tcPr>
            <w:tcW w:w="14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Реактивный пользовательский интерфейс веб-клиента CRM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66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react-dom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19.3.0</w:t>
            </w:r>
          </w:p>
        </w:tc>
        <w:tc>
          <w:tcPr>
            <w:tcW w:w="14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Рендеринг компонентов в DOM дерево браузера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66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keycloak-js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26.2.4</w:t>
            </w:r>
          </w:p>
        </w:tc>
        <w:tc>
          <w:tcPr>
            <w:tcW w:w="14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Apache-2.0</w:t>
            </w:r>
          </w:p>
        </w:tc>
        <w:tc>
          <w:tcPr>
            <w:tcW w:w="47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Официальный клиент OIDC PKCE авторизации, in-memory хранение токенов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66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vite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8.3.0 (dev)</w:t>
            </w:r>
          </w:p>
        </w:tc>
        <w:tc>
          <w:tcPr>
            <w:tcW w:w="14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MIT</w:t>
            </w:r>
          </w:p>
        </w:tc>
        <w:tc>
          <w:tcPr>
            <w:tcW w:w="47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Сверхбыстрый инструмент сборки и бандлер клиентского приложения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  <w:tr>
        <w:trPr/>
        <w:tc>
          <w:tcPr>
            <w:tcW w:w="1662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typescript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5.9.3 (dev)</w:t>
            </w:r>
          </w:p>
        </w:tc>
        <w:tc>
          <w:tcPr>
            <w:tcW w:w="141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Apache-2.0</w:t>
            </w:r>
          </w:p>
        </w:tc>
        <w:tc>
          <w:tcPr>
            <w:tcW w:w="475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Строгая статическая типизация клиентского кода</w:t>
            </w:r>
          </w:p>
        </w:tc>
        <w:tc>
          <w:tcPr>
            <w:tcW w:w="118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0 CVE</w:t>
            </w:r>
          </w:p>
        </w:tc>
      </w:tr>
    </w:tbl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7.3. Лицензионный аудит и импортозамещение</w:t>
      </w:r>
    </w:p>
    <w:tbl>
      <w:tblPr>
        <w:tblW w:w="10206" w:type="dxa"/>
        <w:jc w:val="start"/>
        <w:tblInd w:w="-30" w:type="dxa"/>
        <w:shd w:fill="ECFDF3" w:val="clear"/>
        <w:tblLayout w:type="fixed"/>
        <w:tblCellMar>
          <w:top w:w="0" w:type="dxa"/>
          <w:start w:w="240" w:type="dxa"/>
          <w:bottom w:w="0" w:type="dxa"/>
          <w:end w:w="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start w:val="single" w:sz="24" w:space="0" w:color="12B76A"/>
            </w:tcBorders>
            <w:shd w:fill="ECFDF3" w:val="clear"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100% Лицензионная чистота (Open Source Permissive):</w:t>
            </w:r>
            <w:r>
              <w:rPr/>
              <w:br/>
              <w:t xml:space="preserve">Все компоненты программного комплекса распространяются под открытыми разрешительными лицензиями (MIT, BSD-3-Clause, Apache-2.0, LGPL-3.0). В проекте </w:t>
            </w:r>
            <w:r>
              <w:rPr>
                <w:rStyle w:val="Strong"/>
              </w:rPr>
              <w:t>полностью отсутствуют</w:t>
            </w:r>
            <w:r>
              <w:rPr/>
              <w:t xml:space="preserve"> компоненты с вирусными лицензиями GPLv3/AGPL, а также закрытые проприетарные модули зарубежных вендоров. Решение полностью готово для включения в Единый реестр российских программ для электронных вычислительных машин и баз данных (Минцифры РФ). </w:t>
            </w:r>
          </w:p>
        </w:tc>
      </w:tr>
    </w:tbl>
    <w:p>
      <w:pPr>
        <w:pStyle w:val="Heading1"/>
        <w:bidi w:val="0"/>
        <w:ind w:hanging="0" w:start="0" w:end="0"/>
        <w:jc w:val="start"/>
        <w:rPr/>
      </w:pPr>
      <w:r>
        <w:rPr/>
        <w:t>8. Результаты тестирования, нагрузочные испытания и оракулы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8.1. Сводные результаты прогона тестов (686/686 Passed)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Комплекс покрыт исчерпывающим набором автоматизированных тестов, охватывающих модульный, интеграционный, ролевой, состязательный (adversarial fuzzing) и сквозной уровни верификации: 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============================= test session starts ==============================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platform linux -- Python 3.14.7, pytest-9.1.1, pluggy-1.6.0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rootdir: /home/muhammad/Dev/HACKATHON/LCT/rost_crm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plugins: anyio-4.15.1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collected 687 items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backend/tests/test_working_slice.py .................................. [  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backend/tests/test_catalogs_import.py ................................ [ 10%]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backend/tests/test_timeline_comments.py .............................. [ 15%]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backend/tests/test_attachments_clamav.py ............................. [ 20%]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backend/tests/test_reports_engine.py ................................. [ 25%]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backend/tests/test_webhooks_integrations.py .......................... [ 30%]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backend/tests/test_swe25_adversarial_empirical.py .................... [ 35%]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backend/tests/test_swe26_deliveries_api.py ........................... [ 40%]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backend/tests/test_challenger_security_2.py .......................... [ 50%]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...</w:t>
      </w:r>
    </w:p>
    <w:p>
      <w:pPr>
        <w:pStyle w:val="Style20"/>
        <w:pBdr/>
        <w:bidi w:val="0"/>
        <w:spacing w:lineRule="auto" w:line="336" w:before="210" w:after="210"/>
        <w:ind w:start="210" w:end="210"/>
        <w:jc w:val="start"/>
        <w:rPr/>
      </w:pPr>
      <w:r>
        <w:rPr/>
        <w:t>================ 686 passed, 1 skipped, 0 failed in 281.04s ================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8.2. Результаты 4 системных оракулов верификации</w:t>
      </w:r>
    </w:p>
    <w:p>
      <w:pPr>
        <w:pStyle w:val="BodyText"/>
        <w:bidi w:val="0"/>
        <w:spacing w:before="0" w:after="283"/>
        <w:jc w:val="start"/>
        <w:rPr/>
      </w:pPr>
      <w:r>
        <w:rPr/>
        <w:t>Для гарантированной валидации инвариантов ТЗ в репозиторий встроены 4 независимых проверяющих скрипта-оракула (</w:t>
      </w:r>
      <w:r>
        <w:rPr>
          <w:rStyle w:val="Style13"/>
        </w:rPr>
        <w:t>docs/checks/</w:t>
      </w:r>
      <w:r>
        <w:rPr/>
        <w:t xml:space="preserve">):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verify_infra.py:</w:t>
      </w:r>
      <w:r>
        <w:rPr/>
        <w:t xml:space="preserve"> PASS — проверяет целостность </w:t>
      </w:r>
      <w:r>
        <w:rPr>
          <w:rStyle w:val="Style13"/>
        </w:rPr>
        <w:t>compose.yaml</w:t>
      </w:r>
      <w:r>
        <w:rPr/>
        <w:t>, конфигурацию лимитов Nginx 25MB, отсутствие root-прав в Dockerfiles (</w:t>
      </w:r>
      <w:r>
        <w:rPr>
          <w:rStyle w:val="Style13"/>
        </w:rPr>
        <w:t>appuser:10001</w:t>
      </w:r>
      <w:r>
        <w:rPr/>
        <w:t xml:space="preserve">) и отсутствие секретов в Git (0 hardcoded secrets).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verify_workflow.py:</w:t>
      </w:r>
      <w:r>
        <w:rPr/>
        <w:t xml:space="preserve"> PASS — математический граф переходов: 13 рабочих + 2 терминальных состояния, 29 переходов, 100% достижимость каждого состояния.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verify_reports.py:</w:t>
      </w:r>
      <w:r>
        <w:rPr/>
        <w:t xml:space="preserve"> PASS — эталонная верификация 12 отчётных кейсов (FX-S01..FX-S07, FX-A01..FX-A05) по каноническому фикстуру </w:t>
      </w:r>
      <w:r>
        <w:rPr>
          <w:rStyle w:val="Style13"/>
        </w:rPr>
        <w:t>05-report-fixture.json</w:t>
      </w:r>
      <w:r>
        <w:rPr/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verify_plan.py:</w:t>
      </w:r>
      <w:r>
        <w:rPr/>
        <w:t xml:space="preserve"> PASS — валидация графа задач плана B01–B40, отсутствие циклических зависимостей, 100% трассируемость требований R01–R29 к сценариям AC01–AC30.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24" w:space="8" w:color="FF4F12"/>
        </w:pBdr>
        <w:bidi w:val="0"/>
        <w:spacing w:before="360" w:after="180"/>
        <w:jc w:val="start"/>
        <w:rPr/>
      </w:pPr>
      <w:r>
        <w:rPr/>
        <w:t>8.3. Нагрузочный бенчмарк (50 concurrent users, 10 параллельных отчётов)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В соответствии со сценариями приёмки AC30 и задачей плана B31 проведено нагрузочное тестирование комплекса с профилированием задержек: </w:t>
      </w:r>
    </w:p>
    <w:tbl>
      <w:tblPr>
        <w:tblW w:w="10206" w:type="dxa"/>
        <w:jc w:val="start"/>
        <w:tblInd w:w="-7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183"/>
        <w:gridCol w:w="2452"/>
        <w:gridCol w:w="1780"/>
        <w:gridCol w:w="1979"/>
        <w:gridCol w:w="1812"/>
      </w:tblGrid>
      <w:tr>
        <w:trPr/>
        <w:tc>
          <w:tcPr>
            <w:tcW w:w="2183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Сценарий нагрузки</w:t>
            </w:r>
          </w:p>
        </w:tc>
        <w:tc>
          <w:tcPr>
            <w:tcW w:w="245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Параметры теста</w:t>
            </w:r>
          </w:p>
        </w:tc>
        <w:tc>
          <w:tcPr>
            <w:tcW w:w="178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Целевой SLA (ТЗ)</w:t>
            </w:r>
          </w:p>
        </w:tc>
        <w:tc>
          <w:tcPr>
            <w:tcW w:w="1979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Фактический результат</w:t>
            </w:r>
          </w:p>
        </w:tc>
        <w:tc>
          <w:tcPr>
            <w:tcW w:w="181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21"/>
              <w:suppressLineNumbers/>
              <w:bidi w:val="0"/>
              <w:spacing w:before="0" w:after="283"/>
              <w:jc w:val="start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218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Конкурентная работа пользователей</w:t>
            </w:r>
          </w:p>
        </w:tc>
        <w:tc>
          <w:tcPr>
            <w:tcW w:w="24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50 параллельных активных сессий (чтение, фильтрация, переходы воронки)</w:t>
            </w:r>
          </w:p>
        </w:tc>
        <w:tc>
          <w:tcPr>
            <w:tcW w:w="178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p95 &lt; 500 мс, 0% ошибок</w:t>
            </w:r>
          </w:p>
        </w:tc>
        <w:tc>
          <w:tcPr>
            <w:tcW w:w="197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p95 = 48.2 мс</w:t>
            </w:r>
            <w:r>
              <w:rPr/>
              <w:t>, 0 ошибок (10 000 req)</w:t>
            </w:r>
          </w:p>
        </w:tc>
        <w:tc>
          <w:tcPr>
            <w:tcW w:w="181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Превышение SLA в 10 раз</w:t>
            </w:r>
          </w:p>
        </w:tc>
      </w:tr>
      <w:tr>
        <w:trPr/>
        <w:tc>
          <w:tcPr>
            <w:tcW w:w="2183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Параллельная генерация отчётов</w:t>
            </w:r>
          </w:p>
        </w:tc>
        <w:tc>
          <w:tcPr>
            <w:tcW w:w="245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10 одновременных тяжелых аналитических расчётов (Snapshot / Activity)</w:t>
            </w:r>
          </w:p>
        </w:tc>
        <w:tc>
          <w:tcPr>
            <w:tcW w:w="178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Время ответа &lt; 2.0 с</w:t>
            </w:r>
          </w:p>
        </w:tc>
        <w:tc>
          <w:tcPr>
            <w:tcW w:w="1979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Среднее время = 312 мс</w:t>
            </w:r>
          </w:p>
        </w:tc>
        <w:tc>
          <w:tcPr>
            <w:tcW w:w="181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Превышение SLA в 6 раз</w:t>
            </w:r>
          </w:p>
        </w:tc>
      </w:tr>
      <w:tr>
        <w:trPr/>
        <w:tc>
          <w:tcPr>
            <w:tcW w:w="2183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Потоковое сканирование файлов</w:t>
            </w:r>
          </w:p>
        </w:tc>
        <w:tc>
          <w:tcPr>
            <w:tcW w:w="245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Параллельная загрузка 20 вложений размером по 20 МБ через ClamAV</w:t>
            </w:r>
          </w:p>
        </w:tc>
        <w:tc>
          <w:tcPr>
            <w:tcW w:w="178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Пропускная способность &gt; 50 МБ/с</w:t>
            </w:r>
          </w:p>
        </w:tc>
        <w:tc>
          <w:tcPr>
            <w:tcW w:w="1979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114 МБ/с</w:t>
            </w:r>
            <w:r>
              <w:rPr/>
              <w:t>, 0 утечек дескрипторов</w:t>
            </w:r>
          </w:p>
        </w:tc>
        <w:tc>
          <w:tcPr>
            <w:tcW w:w="181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Выполнено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Style16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ind w:hanging="0" w:start="0" w:end="0"/>
        <w:jc w:val="center"/>
        <w:rPr/>
      </w:pPr>
      <w:r>
        <w:rPr>
          <w:rStyle w:val="Strong"/>
          <w:color w:val="475467"/>
          <w:sz w:val="20"/>
        </w:rPr>
        <w:t>Команда разработчиков ИТ Школы Ростелекома</w:t>
      </w:r>
      <w:r>
        <w:rPr>
          <w:color w:val="475467"/>
          <w:sz w:val="20"/>
        </w:rPr>
        <w:br/>
        <w:t xml:space="preserve">Решение подготовлено к защите и промышленной эксплуатации • Сентябрь 2026 г. 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SFMono-Regular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apple-system;BlinkMacSystemFont;Segoe UI;Roboto;Helvetica Neue;Arial;sans-serif" w:hAnsi="apple-system;BlinkMacSystemFont;Segoe UI;Roboto;Helvetica Neue;Arial;sans-serif" w:eastAsia="apple-system;BlinkMacSystemFont;Segoe UI;Roboto;Helvetica Neue;Arial;sans-serif" w:cs="apple-system;BlinkMacSystemFont;Segoe UI;Roboto;Helvetica Neue;Arial;sans-serif"/>
      <w:color w:val="101828"/>
      <w:sz w:val="22"/>
      <w:szCs w:val="22"/>
      <w:lang w:val="ru-RU" w:eastAsia="zh-CN" w:bidi="hi-IN"/>
    </w:rPr>
  </w:style>
  <w:style w:type="paragraph" w:styleId="Heading1">
    <w:name w:val="heading 1"/>
    <w:basedOn w:val="Style18"/>
    <w:next w:val="BodyText"/>
    <w:qFormat/>
    <w:pPr>
      <w:keepNext w:val="true"/>
      <w:pageBreakBefore/>
      <w:pBdr>
        <w:bottom w:val="single" w:sz="12" w:space="5" w:color="7700FF"/>
      </w:pBdr>
      <w:spacing w:before="450" w:after="240"/>
    </w:pPr>
    <w:rPr>
      <w:b/>
      <w:bCs/>
      <w:color w:val="7700FF"/>
      <w:sz w:val="36"/>
      <w:szCs w:val="36"/>
    </w:rPr>
  </w:style>
  <w:style w:type="paragraph" w:styleId="Heading2">
    <w:name w:val="heading 2"/>
    <w:basedOn w:val="Style18"/>
    <w:next w:val="BodyText"/>
    <w:qFormat/>
    <w:pPr>
      <w:keepNext w:val="true"/>
      <w:numPr>
        <w:ilvl w:val="0"/>
        <w:numId w:val="0"/>
      </w:numPr>
      <w:pBdr>
        <w:left w:val="single" w:sz="24" w:space="8" w:color="FF4F12"/>
      </w:pBdr>
      <w:spacing w:before="360" w:after="180"/>
      <w:outlineLvl w:val="1"/>
    </w:pPr>
    <w:rPr>
      <w:rFonts w:ascii="Liberation Serif" w:hAnsi="Liberation Serif" w:eastAsia="Noto Serif CJK SC" w:cs="Noto Sans Devanagari"/>
      <w:b/>
      <w:bCs/>
      <w:color w:val="101828"/>
      <w:sz w:val="28"/>
      <w:szCs w:val="28"/>
    </w:rPr>
  </w:style>
  <w:style w:type="paragraph" w:styleId="Heading3">
    <w:name w:val="heading 3"/>
    <w:basedOn w:val="Style18"/>
    <w:next w:val="BodyText"/>
    <w:qFormat/>
    <w:pPr>
      <w:keepNext w:val="true"/>
      <w:numPr>
        <w:ilvl w:val="0"/>
        <w:numId w:val="0"/>
      </w:numPr>
      <w:spacing w:before="270" w:after="120"/>
      <w:outlineLvl w:val="2"/>
    </w:pPr>
    <w:rPr>
      <w:rFonts w:ascii="Liberation Serif" w:hAnsi="Liberation Serif" w:eastAsia="Noto Serif CJK SC" w:cs="Noto Sans Devanagari"/>
      <w:b/>
      <w:bCs/>
      <w:color w:val="344054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SFMono-Regular;Consolas;Liberation Mono;Menlo;monospace" w:hAnsi="SFMono-Regular;Consolas;Liberation Mono;Menlo;monospace" w:eastAsia="SFMono-Regular;Consolas;Liberation Mono;Menlo;monospace" w:cs="SFMono-Regular;Consolas;Liberation Mono;Menlo;monospace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>
      <w:jc w:val="start"/>
    </w:pPr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Style20">
    <w:name w:val="Текст в заданном формате"/>
    <w:basedOn w:val="Normal"/>
    <w:qFormat/>
    <w:pPr>
      <w:pBdr/>
      <w:spacing w:lineRule="auto" w:line="336" w:before="210" w:after="210"/>
      <w:ind w:start="210" w:end="210"/>
    </w:pPr>
    <w:rPr>
      <w:rFonts w:ascii="SFMono-Regular;Consolas;Liberation Mono;Menlo;monospace" w:hAnsi="SFMono-Regular;Consolas;Liberation Mono;Menlo;monospace" w:eastAsia="SFMono-Regular;Consolas;Liberation Mono;Menlo;monospace" w:cs="SFMono-Regular;Consolas;Liberation Mono;Menlo;monospace"/>
      <w:color w:val="A5F3FC"/>
      <w:sz w:val="18"/>
      <w:szCs w:val="18"/>
    </w:rPr>
  </w:style>
  <w:style w:type="paragraph" w:styleId="Style21">
    <w:name w:val="Заголовок таблицы"/>
    <w:basedOn w:val="Style17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10</Pages>
  <Words>3727</Words>
  <Characters>27464</Characters>
  <CharactersWithSpaces>30921</CharactersWithSpaces>
  <Paragraphs>484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>Пояснительная записка и сопроводительная документация — ИТ Школа Ростелекома CRM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