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INV STUDIO</w:t>
      </w:r>
    </w:p>
    <w:p>
      <w:pPr>
        <w:pStyle w:val="Title"/>
      </w:pPr>
      <w:r>
        <w:t>From supplier invoice</w:t>
        <w:br/>
        <w:t>to checked Excel</w:t>
      </w:r>
    </w:p>
    <w:p>
      <w:pPr>
        <w:pStyle w:val="Subtitle"/>
      </w:pPr>
      <w:r>
        <w:t>Solution design • operating model • verification record • build stories</w:t>
      </w:r>
    </w:p>
    <w:p>
      <w:r>
        <w:t>5 October 2026</w:t>
        <w:br/>
        <w:t>Final revision inv-studio-api-00009-vxw has 100% traffic and uses the tested core image plus the cancel/footer fixes. Reader, workbook, lookup, deletion/model and cancel-dialog checks passed. The allowlist is owner-only, the owner account remained email-verified, unauthenticated API calls are denied and the temporary identity was deleted. The private 412,139-row evidence catalog completed atomic cutover; authenticated API and References UI checks passed without mutation. 214 backend tests pass with PostgreSQL included and no skips; Ruff, both Chromium workflows, all four GitHub checks and all three packaged reader warm-ups pass. Native and Paddle measurements remain bounded to their evaluated layouts; hosted adaptive Paddle reached 96/99 facts on one challenging two-page scan, while Docling recovered only 10/23 lines on that scan.</w:t>
      </w:r>
    </w:p>
    <w:p>
      <w:r>
        <w:t>For senior leaders, product owners, AP operators and the engineering team. Read the decision and process first; use the data contract and stories when building or accepting a release.</w:t>
      </w:r>
    </w:p>
    <w:p>
      <w:r>
        <w:br w:type="page"/>
      </w:r>
    </w:p>
    <w:p>
      <w:pPr>
        <w:pStyle w:val="Heading1"/>
      </w:pPr>
      <w:r>
        <w:t>Invoice first. A supplier platform next.</w:t>
      </w:r>
    </w:p>
    <w:p>
      <w:r>
        <w:t>Decision document • 5 October 2026 • Local MVP, hosted pilot and proposed production roadmap</w:t>
      </w:r>
    </w:p>
    <w:p>
      <w:pPr>
        <w:pStyle w:val="Heading2"/>
      </w:pPr>
      <w:r>
        <w:t>The decision</w:t>
      </w:r>
    </w:p>
    <w:p>
      <w:r>
        <w:t>Build the invoice control, matching and review product in house. Reuse maintained document readers instead of training a new OCR model first. Keep AI replaceable. The lasting product value is knowing which supplier, site, company, item, purchase order and receipt a document belongs to, and showing why a proposed Excel row is safe to produce.</w:t>
      </w:r>
    </w:p>
    <w:p>
      <w:r>
        <w:t>The first release removes rekeying where evidence is available. It does not remove the need for a person to resolve missing or contradictory evidence. A complete-looking answer from AI is not proof that goods were received or that a supplier is approved.</w:t>
      </w:r>
    </w:p>
    <w:p>
      <w:pPr>
        <w:pStyle w:val="Heading2"/>
      </w:pPr>
      <w:r>
        <w:t>A normal day in the new process</w:t>
      </w:r>
    </w:p>
    <w:p>
      <w:r>
        <w:t>An accounts-payable operator selects a batch of invoices. The portal shows the reference version, reader, fallback provider and price/total rules. The operator confirms those choices once for the batch. Each file gets its own job and visible stage, so a poor scan does not hide the progress of other invoices. A readable PDF first uses its native text; when no supplier template matches, conservative layout rules look only for explicit invoice labels and spatial table columns. A strong invoice heading is required, purchase orders are rejected, ambiguous values stay empty and internal business codes are never inferred. The automatic path then skips the expensive image-OCR pass and can use the permitted AI fallback.</w:t>
      </w:r>
    </w:p>
    <w:p>
      <w:r>
        <w:t>The readers propose invoice fields and lines. The application uses a known PO to fill missing internal identifiers only when that PO has one unambiguous record. It records the source of each derived value. It matches item identifiers within the supplier site, checks prices and units, and compares quantities with accepted receipts after returns and previous allocations.</w:t>
      </w:r>
    </w:p>
    <w:p>
      <w:r>
        <w:t>The operator sees the document, extracted fields, current stage, reader trace and reasons for any hold. Up to two files process at once; the rest remain queued. Select processed supports invoice-by-invoice review, and visible unsaved changes must be saved before opening another invoice or downloading a batch. Selected saved records can become one EXTRACTION_REVIEW_ONLY workbook without approval or allocation. Selected ready invoices use the separate approved path: transaction IDs are shared across all three sheets, and export plus quantity allocation happen in one database transaction.</w:t>
      </w:r>
    </w:p>
    <w:p>
      <w:r>
        <w:t>When the business needs a file before OCR or reference approval finishes, a separate manual editor exposes every target column. It downloads one transaction as DRAFT_UNVALIDATED only after an explicit acknowledgement. The workbook and audit record say that references were not validated and no receipt was reserved. It neither changes the extraction job nor enters the approved-export ledger.</w:t>
      </w:r>
    </w:p>
    <w:p>
      <w:r>
        <w:t>Large source extracts feed a separate read-only evidence lookup. Its atomic cutover completed with 412,139 live rows: 114,940 item rows and 297,199 PO/GRN rows, plus a sanitized archive receipt beginning d06678. Ninety-four guard probes remained healthy through the deployments; final state read took 1.917 seconds and database disk use was 5.244 GB of 10.464 GB. Authenticated API QA returned the expected rank-one exact-name candidate in 2.831 seconds, rank-one typo candidate in 1.182 seconds and PO result in 0.462 seconds; an impossible strict filter returned no result and confirmation flags remained set. The final References UI check showed the exact source counts, rank-one exact and typo candidates in 1.222 and 1.293 seconds, three exact PO results in 0.446 seconds, provenance/confirmation warnings, zero mutations and zero page errors. Exact identifiers and fuzzy product-name candidates retain source and conflict context. Price, quantity and unit can help rank candidates; a person must inspect and confirm the evidence. Lookup evidence never becomes approved matching data by itself.</w:t>
      </w:r>
    </w:p>
    <w:p>
      <w:pPr>
        <w:pStyle w:val="Heading2"/>
      </w:pPr>
      <w:r>
        <w:t>What has been built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Capability</w:t>
            </w:r>
          </w:p>
        </w:tc>
        <w:tc>
          <w:tcPr>
            <w:tcW w:type="dxa" w:w="2880"/>
          </w:tcPr>
          <w:p>
            <w:r>
              <w:t>Current delivery</w:t>
            </w:r>
          </w:p>
        </w:tc>
        <w:tc>
          <w:tcPr>
            <w:tcW w:type="dxa" w:w="2880"/>
          </w:tcPr>
          <w:p>
            <w:r>
              <w:t>Next gate</w:t>
            </w:r>
          </w:p>
        </w:tc>
      </w:tr>
      <w:tr>
        <w:tc>
          <w:tcPr>
            <w:tcW w:type="dxa" w:w="2880"/>
          </w:tcPr>
          <w:p>
            <w:r>
              <w:t>Multiple invoice files</w:t>
            </w:r>
          </w:p>
        </w:tc>
        <w:tc>
          <w:tcPr>
            <w:tcW w:type="dxa" w:w="2880"/>
          </w:tcPr>
          <w:p>
            <w:r>
              <w:t>Local and hosted portal, guarded processing, queue and editable review</w:t>
            </w:r>
          </w:p>
        </w:tc>
        <w:tc>
          <w:tcPr>
            <w:tcW w:type="dxa" w:w="2880"/>
          </w:tcPr>
          <w:p>
            <w:r>
              <w:t>Representative supplier-format evaluation</w:t>
            </w:r>
          </w:p>
        </w:tc>
      </w:tr>
      <w:tr>
        <w:tc>
          <w:tcPr>
            <w:tcW w:type="dxa" w:w="2880"/>
          </w:tcPr>
          <w:p>
            <w:r>
              <w:t>Document reading</w:t>
            </w:r>
          </w:p>
        </w:tc>
        <w:tc>
          <w:tcPr>
            <w:tcW w:type="dxa" w:w="2880"/>
          </w:tcPr>
          <w:p>
            <w:r>
              <w:t>invoice2data, conservative native layout rules, PaddleOCR and Docling installed and exercised</w:t>
            </w:r>
          </w:p>
        </w:tc>
        <w:tc>
          <w:tcPr>
            <w:tcW w:type="dxa" w:w="2880"/>
          </w:tcPr>
          <w:p>
            <w:r>
              <w:t>Frozen held-out accuracy evaluation by supplier, scan quality, language and length</w:t>
            </w:r>
          </w:p>
        </w:tc>
      </w:tr>
      <w:tr>
        <w:tc>
          <w:tcPr>
            <w:tcW w:type="dxa" w:w="2880"/>
          </w:tcPr>
          <w:p>
            <w:r>
              <w:t>Readable-PDF path</w:t>
            </w:r>
          </w:p>
        </w:tc>
        <w:tc>
          <w:tcPr>
            <w:tcW w:type="dxa" w:w="2880"/>
          </w:tcPr>
          <w:p>
            <w:r>
              <w:t>Native text can bypass image OCR; invoice headings, explicit labels and spatial columns are required</w:t>
            </w:r>
          </w:p>
        </w:tc>
        <w:tc>
          <w:tcPr>
            <w:tcW w:type="dxa" w:w="2880"/>
          </w:tcPr>
          <w:p>
            <w:r>
              <w:t>Expand rules only from adjudicated failures; do not infer internal codes or ambiguous facts</w:t>
            </w:r>
          </w:p>
        </w:tc>
      </w:tr>
      <w:tr>
        <w:tc>
          <w:tcPr>
            <w:tcW w:type="dxa" w:w="2880"/>
          </w:tcPr>
          <w:p>
            <w:r>
              <w:t>AI fallback</w:t>
            </w:r>
          </w:p>
        </w:tc>
        <w:tc>
          <w:tcPr>
            <w:tcW w:type="dxa" w:w="2880"/>
          </w:tcPr>
          <w:p>
            <w:r>
              <w:t>Managed Vertex AI plus OpenAI, Anthropic, ChatGPT and restricted Claude adapters; strict schema and failure handling; saved versus verified access is explicit</w:t>
            </w:r>
          </w:p>
        </w:tc>
        <w:tc>
          <w:tcPr>
            <w:tcW w:type="dxa" w:w="2880"/>
          </w:tcPr>
          <w:p>
            <w:r>
              <w:t>Complete the private held-out evaluation and measure corrections, latency and cost</w:t>
            </w:r>
          </w:p>
        </w:tc>
      </w:tr>
      <w:tr>
        <w:tc>
          <w:tcPr>
            <w:tcW w:type="dxa" w:w="2880"/>
          </w:tcPr>
          <w:p>
            <w:r>
              <w:t>Matching</w:t>
            </w:r>
          </w:p>
        </w:tc>
        <w:tc>
          <w:tcPr>
            <w:tcW w:type="dxa" w:w="2880"/>
          </w:tcPr>
          <w:p>
            <w:r>
              <w:t>Deterministic supplier/site/route/PO/item/receipt/tax rules</w:t>
            </w:r>
          </w:p>
        </w:tc>
        <w:tc>
          <w:tcPr>
            <w:tcW w:type="dxa" w:w="2880"/>
          </w:tcPr>
          <w:p>
            <w:r>
              <w:t>Data-owner-approved reference snapshot</w:t>
            </w:r>
          </w:p>
        </w:tc>
      </w:tr>
      <w:tr>
        <w:tc>
          <w:tcPr>
            <w:tcW w:type="dxa" w:w="2880"/>
          </w:tcPr>
          <w:p>
            <w:r>
              <w:t>Excel</w:t>
            </w:r>
          </w:p>
        </w:tc>
        <w:tc>
          <w:tcPr>
            <w:tcW w:type="dxa" w:w="2880"/>
          </w:tcPr>
          <w:p>
            <w:r>
              <w:t>Exact approved three-sheet output plus combined EXTRACTION_REVIEW_ONLY and all-field DRAFT_UNVALIDATED paths</w:t>
            </w:r>
          </w:p>
        </w:tc>
        <w:tc>
          <w:tcPr>
            <w:tcW w:type="dxa" w:w="2880"/>
          </w:tcPr>
          <w:p>
            <w:r>
              <w:t>Hosted verification and downstream acceptance of each visible boundary</w:t>
            </w:r>
          </w:p>
        </w:tc>
      </w:tr>
      <w:tr>
        <w:tc>
          <w:tcPr>
            <w:tcW w:type="dxa" w:w="2880"/>
          </w:tcPr>
          <w:p>
            <w:r>
              <w:t>Business references</w:t>
            </w:r>
          </w:p>
        </w:tc>
        <w:tc>
          <w:tcPr>
            <w:tcW w:type="dxa" w:w="2880"/>
          </w:tcPr>
          <w:p>
            <w:r>
              <w:t>Canonical import plus a distinct 412,139-row private source profile</w:t>
            </w:r>
          </w:p>
        </w:tc>
        <w:tc>
          <w:tcPr>
            <w:tcW w:type="dxa" w:w="2880"/>
          </w:tcPr>
          <w:p>
            <w:r>
              <w:t>Restore hosted import; record recovery receipt; approve mappings separately</w:t>
            </w:r>
          </w:p>
        </w:tc>
      </w:tr>
      <w:tr>
        <w:tc>
          <w:tcPr>
            <w:tcW w:type="dxa" w:w="2880"/>
          </w:tcPr>
          <w:p>
            <w:r>
              <w:t>Owner connections</w:t>
            </w:r>
          </w:p>
        </w:tc>
        <w:tc>
          <w:tcPr>
            <w:tcW w:type="dxa" w:w="2880"/>
          </w:tcPr>
          <w:p>
            <w:r>
              <w:t>API keys, hosted Claude setup-token CLI, and move-only ChatGPT local-to-hosted credential transfer in source</w:t>
            </w:r>
          </w:p>
        </w:tc>
        <w:tc>
          <w:tcPr>
            <w:tcW w:type="dxa" w:w="2880"/>
          </w:tcPr>
          <w:p>
            <w:r>
              <w:t>Release validation, hosted deployment and live owner-account evaluation</w:t>
            </w:r>
          </w:p>
        </w:tc>
      </w:tr>
      <w:tr>
        <w:tc>
          <w:tcPr>
            <w:tcW w:type="dxa" w:w="2880"/>
          </w:tcPr>
          <w:p>
            <w:r>
              <w:t>Invoice deletion</w:t>
            </w:r>
          </w:p>
        </w:tc>
        <w:tc>
          <w:tcPr>
            <w:tcW w:type="dxa" w:w="2880"/>
          </w:tcPr>
          <w:p>
            <w:r>
              <w:t>Confirmed removal of live job/source/audit/workbook data with minimal approved-ledger tombstones</w:t>
            </w:r>
          </w:p>
        </w:tc>
        <w:tc>
          <w:tcPr>
            <w:tcW w:type="dxa" w:w="2880"/>
          </w:tcPr>
          <w:p>
            <w:r>
              <w:t>Verify the upcoming cloud bundle and document provider backup/version retention</w:t>
            </w:r>
          </w:p>
        </w:tc>
      </w:tr>
      <w:tr>
        <w:tc>
          <w:tcPr>
            <w:tcW w:type="dxa" w:w="2880"/>
          </w:tcPr>
          <w:p>
            <w:r>
              <w:t>Restricted cloud pilot</w:t>
            </w:r>
          </w:p>
        </w:tc>
        <w:tc>
          <w:tcPr>
            <w:tcW w:type="dxa" w:w="2880"/>
          </w:tcPr>
          <w:p>
            <w:r>
              <w:t>Firebase sign-in, Cloud Run, Cloud SQL, private evidence storage and managed secrets</w:t>
            </w:r>
          </w:p>
        </w:tc>
        <w:tc>
          <w:tcPr>
            <w:tcW w:type="dxa" w:w="2880"/>
          </w:tcPr>
          <w:p>
            <w:r>
              <w:t>Business acceptance and operational hardening</w:t>
            </w:r>
          </w:p>
        </w:tc>
      </w:tr>
      <w:tr>
        <w:tc>
          <w:tcPr>
            <w:tcW w:type="dxa" w:w="2880"/>
          </w:tcPr>
          <w:p>
            <w:r>
              <w:t>Shared enterprise service</w:t>
            </w:r>
          </w:p>
        </w:tc>
        <w:tc>
          <w:tcPr>
            <w:tcW w:type="dxa" w:w="2880"/>
          </w:tcPr>
          <w:p>
            <w:r>
              <w:t>Design below</w:t>
            </w:r>
          </w:p>
        </w:tc>
        <w:tc>
          <w:tcPr>
            <w:tcW w:type="dxa" w:w="2880"/>
          </w:tcPr>
          <w:p>
            <w:r>
              <w:t>Role separation, durable workers, operational controls and load testing</w:t>
            </w:r>
          </w:p>
        </w:tc>
      </w:tr>
    </w:tbl>
    <w:p>
      <w:pPr>
        <w:pStyle w:val="Heading2"/>
      </w:pPr>
      <w:r>
        <w:t>Architecture</w:t>
      </w:r>
    </w:p>
    <w:p>
      <w:r>
        <w:t>Flow: Upload → Confirm rules → Template or conservative native layout / OCR / permitted managed Vertex or selected AI → Match approved references → Review evidence → approved export and receipt reservation. Separate outputs: combined EXTRACTION_REVIEW_ONLY and all-field DRAFT_UNVALIDATED, both without approval or reservation.</w:t>
      </w:r>
    </w:p>
    <w:p>
      <w:r>
        <w:t>The browser presents the workflow. FastAPI owns validation and export; no browser-side approval can bypass server rules. Local mode uses SQLite. The hosted pilot uses Cloud SQL PostgreSQL for jobs, encrypted credentials, reference snapshots, audit events and the export ledger, with private Cloud Storage for sources and templates. Reader subprocesses have time limits and receive no application API keys. AI adapters receive only the invoice or extracted text required for reading, not the entire master-data database.</w:t>
      </w:r>
    </w:p>
    <w:p>
      <w:r>
        <w:t>The hosted pilot verifies Firebase identity and an explicit owner allowlist, and uses Secret Manager for runtime secrets. Managed Vertex AI uses Application Default Credentials for the workspace service identity, a configured owner project/region and the fixed Google API endpoint; usage is charged to that project and its output returns through the same schema, validation and review gates. A saved provider key means only that an encrypted credential exists. Model retrieval or an explicit probe verifies access. If no connected model is selected, the UI may offer one from a connected provider; it never replaces a user's still-connected selection. Claude setup tokens are encrypted application credentials and are passed only to a restricted server-side CLI invocation. ChatGPT transfer removes the local encrypted credentials before hosted import. Final revision inv-studio-api-00009-vxw has 100% traffic and uses the tested core image plus the cancel/footer fixes. Paddle, managed AI, authenticated API/browser lookup, deletion/model controls and cancel-dialog behavior passed. The allowlist is owner-only, the owner account remained email-verified, anonymous/direct-service API requests returned 401 and the temporary identity was deleted.</w:t>
      </w:r>
    </w:p>
    <w:p>
      <w:r>
        <w:t>For a shared production service, retain these contracts and add role-based access, normalized reference staging, a durable message queue, leased CPU/GPU workers, schema migrations and operational monitoring. The current queue and processing plans remain in memory; drain work before replacing a revision. A relational transaction reserves receipt quantities and records the approved export exactly once. Keep document extraction and unvalidated draft creation outside that transaction. See the cloud runbook for recovery boundaries.</w:t>
      </w:r>
    </w:p>
    <w:p>
      <w:pPr>
        <w:pStyle w:val="Heading2"/>
      </w:pPr>
      <w:r>
        <w:t>Why these components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Job</w:t>
            </w:r>
          </w:p>
        </w:tc>
        <w:tc>
          <w:tcPr>
            <w:tcW w:type="dxa" w:w="2880"/>
          </w:tcPr>
          <w:p>
            <w:r>
              <w:t>Limitation and decision</w:t>
            </w:r>
          </w:p>
        </w:tc>
      </w:tr>
      <w:tr>
        <w:tc>
          <w:tcPr>
            <w:tcW w:type="dxa" w:w="2880"/>
          </w:tcPr>
          <w:p>
            <w:r>
              <w:t>invoice2data</w:t>
            </w:r>
          </w:p>
        </w:tc>
        <w:tc>
          <w:tcPr>
            <w:tcW w:type="dxa" w:w="2880"/>
          </w:tcPr>
          <w:p>
            <w:r>
              <w:t>Repeatable supplier templates and native text extraction</w:t>
            </w:r>
          </w:p>
        </w:tc>
        <w:tc>
          <w:tcPr>
            <w:tcW w:type="dxa" w:w="2880"/>
          </w:tcPr>
          <w:p>
            <w:r>
              <w:t>Best when layout is known; templates require maintenance. On scans, Paddle may supply image text and the trace names that input rather than attributing pixel reading to invoice2data.</w:t>
            </w:r>
          </w:p>
        </w:tc>
      </w:tr>
      <w:tr>
        <w:tc>
          <w:tcPr>
            <w:tcW w:type="dxa" w:w="2880"/>
          </w:tcPr>
          <w:p>
            <w:r>
              <w:t>PaddleOCR</w:t>
            </w:r>
          </w:p>
        </w:tc>
        <w:tc>
          <w:tcPr>
            <w:tcW w:type="dxa" w:w="2880"/>
          </w:tcPr>
          <w:p>
            <w:r>
              <w:t>Read image words and coordinates for conservative layout conversion</w:t>
            </w:r>
          </w:p>
        </w:tc>
        <w:tc>
          <w:tcPr>
            <w:tcW w:type="dxa" w:w="2880"/>
          </w:tcPr>
          <w:p>
            <w:r>
              <w:t>Three scans recovered every line and tested numeric/identifier fact, but descriptions remain unproven; the conservative all-field floor is 90.91%.</w:t>
            </w:r>
          </w:p>
        </w:tc>
      </w:tr>
      <w:tr>
        <w:tc>
          <w:tcPr>
            <w:tcW w:type="dxa" w:w="2880"/>
          </w:tcPr>
          <w:p>
            <w:r>
              <w:t>Docling</w:t>
            </w:r>
          </w:p>
        </w:tc>
        <w:tc>
          <w:tcPr>
            <w:tcW w:type="dxa" w:w="2880"/>
          </w:tcPr>
          <w:p>
            <w:r>
              <w:t>Convert native document layout and tables into invoice lines</w:t>
            </w:r>
          </w:p>
        </w:tc>
        <w:tc>
          <w:tcPr>
            <w:tcW w:type="dxa" w:w="2880"/>
          </w:tcPr>
          <w:p>
            <w:r>
              <w:t>Bounded native examples worked. Measured OCR cells yielded only 10/23 lines on a challenging two-page scan and poor source-position matches; a ten-page timeout remains. Do not present it as a universal fallback.</w:t>
            </w:r>
          </w:p>
        </w:tc>
      </w:tr>
      <w:tr>
        <w:tc>
          <w:tcPr>
            <w:tcW w:type="dxa" w:w="2880"/>
          </w:tcPr>
          <w:p>
            <w:r>
              <w:t>Managed Vertex / selected AI</w:t>
            </w:r>
          </w:p>
        </w:tc>
        <w:tc>
          <w:tcPr>
            <w:tcW w:type="dxa" w:w="2880"/>
          </w:tcPr>
          <w:p>
            <w:r>
              <w:t>Recover unfamiliar layouts and propose structured fields</w:t>
            </w:r>
          </w:p>
        </w:tc>
        <w:tc>
          <w:tcPr>
            <w:tcW w:type="dxa" w:w="2880"/>
          </w:tcPr>
          <w:p>
            <w:r>
              <w:t>Model output is untrusted data. Require schema validation, exact reference matching and review; record provider/model, latency, token usage and project cost.</w:t>
            </w:r>
          </w:p>
        </w:tc>
      </w:tr>
      <w:tr>
        <w:tc>
          <w:tcPr>
            <w:tcW w:type="dxa" w:w="2880"/>
          </w:tcPr>
          <w:p>
            <w:r>
              <w:t>Custom validation service</w:t>
            </w:r>
          </w:p>
        </w:tc>
        <w:tc>
          <w:tcPr>
            <w:tcW w:type="dxa" w:w="2880"/>
          </w:tcPr>
          <w:p>
            <w:r>
              <w:t>Supplier/site scope, item identity, receipts, rules and duplicate control</w:t>
            </w:r>
          </w:p>
        </w:tc>
        <w:tc>
          <w:tcPr>
            <w:tcW w:type="dxa" w:w="2880"/>
          </w:tcPr>
          <w:p>
            <w:r>
              <w:t>This is business logic that generic OCR cannot supply. Build and own it.</w:t>
            </w:r>
          </w:p>
        </w:tc>
      </w:tr>
      <w:tr>
        <w:tc>
          <w:tcPr>
            <w:tcW w:type="dxa" w:w="2880"/>
          </w:tcPr>
          <w:p>
            <w:r>
              <w:t>Source evidence lookup</w:t>
            </w:r>
          </w:p>
        </w:tc>
        <w:tc>
          <w:tcPr>
            <w:tcW w:type="dxa" w:w="2880"/>
          </w:tcPr>
          <w:p>
            <w:r>
              <w:t>Search large item and PO extracts without treating them as master approval</w:t>
            </w:r>
          </w:p>
        </w:tc>
        <w:tc>
          <w:tcPr>
            <w:tcW w:type="dxa" w:w="2880"/>
          </w:tcPr>
          <w:p>
            <w:r>
              <w:t>Show conflicts and provenance, then require explicit confirmation; canonical approval remains separate.</w:t>
            </w:r>
          </w:p>
        </w:tc>
      </w:tr>
      <w:tr>
        <w:tc>
          <w:tcPr>
            <w:tcW w:type="dxa" w:w="2880"/>
          </w:tcPr>
          <w:p>
            <w:r>
              <w:t>Custom Excel renderer</w:t>
            </w:r>
          </w:p>
        </w:tc>
        <w:tc>
          <w:tcPr>
            <w:tcW w:type="dxa" w:w="2880"/>
          </w:tcPr>
          <w:p>
            <w:r>
              <w:t>Preserve the receiving workbook contract</w:t>
            </w:r>
          </w:p>
        </w:tc>
        <w:tc>
          <w:tcPr>
            <w:tcW w:type="dxa" w:w="2880"/>
          </w:tcPr>
          <w:p>
            <w:r>
              <w:t>Generate typed cells from validated records or an explicitly labelled manual draft; do not let AI write arbitrary workbook formulas.</w:t>
            </w:r>
          </w:p>
        </w:tc>
      </w:tr>
    </w:tbl>
    <w:p>
      <w:r>
        <w:t>The local engines are alternatives in an ordered pipeline, not three votes on truth. The application keeps one reader's candidate rather than silently combining conflicting values. Native layout rules require explicit visible evidence, preserve printed line net/tax separately from printed unit price, preserve printed buyer name separately from the internal buyer/company code, leave conflicts and ambiguous dates unset, and never derive header totals or internal codes from arithmetic. A completeness score is read coverage, not a calibrated probability of correctness. The trace reports a true engine failure separately from a completed text-only attempt with zero structured items.</w:t>
      </w:r>
    </w:p>
    <w:p>
      <w:r>
        <w:t>Audit outcomes use text_read, fields_extracted and extraction_failed. The older extracted event is displayed only as “Reader run finished (legacy event)” because it does not prove that structured fields were produced. Permanent invoice deletion requires explicit confirmation and current revisions. It removes live jobs, source objects, detailed audit evidence and workbook copies. Approved invoices retain only the invoice key and PO-line quantity allocations required for duplicate/receipt protection, plus a minimal deletion audit; provider backups, logs, object versions and soft-deleted copies remain subject to provider retention.</w:t>
      </w:r>
    </w:p>
    <w:p>
      <w:pPr>
        <w:pStyle w:val="Heading2"/>
      </w:pPr>
      <w:r>
        <w:t>Supplier and company model for the wider product</w:t>
      </w:r>
    </w:p>
    <w:p>
      <w:r>
        <w:t>A supplier legal entity is separate from its operational sites. An approved route connects a supplier site, buying legal entity, ship-from market, delivery market and invoice currency. A UAE supplier invoicing in AED for Kuwait delivery is therefore a different route from domestic UAE supply, even when the seller and currency are unchanged. An existing supplier name alone does not authorize that route.</w:t>
      </w:r>
    </w:p>
    <w:p>
      <w:r>
        <w:t>Items have internal identities, supplier-specific codes, GTINs, packaging and units. Digital-channel content should be versioned separately from purchasing identity: titles, translations, images, ingredients, attributes and channel requirements can change without changing the invoice matching key. Item discovery and fuzzy similarity can propose a match; a steward must approve an ambiguous identifier or unit conversion.</w:t>
      </w:r>
    </w:p>
    <w:p>
      <w:r>
        <w:t>For a new store in an existing market, search approved routes and assortment coverage first. For a new market, generate a discovery and qualification case: candidate suppliers, local entity/site checks, delivery capability, documentation and commercial review. Reuse verified facts with expiry dates and provenance; do not repeat every task or assume an approval transfers across markets. AI can assemble a shortlist and highlight gaps; procurement owns approval.</w:t>
      </w:r>
    </w:p>
    <w:p>
      <w:pPr>
        <w:pStyle w:val="Heading2"/>
      </w:pPr>
      <w:r>
        <w:t>Proposed 24-flow product map</w:t>
      </w:r>
    </w:p>
    <w:p>
      <w:r>
        <w:t>These are proposed coverage areas, not a claim that all earlier source processes have been implemented or independently verified.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Discover and approve</w:t>
            </w:r>
          </w:p>
        </w:tc>
        <w:tc>
          <w:tcPr>
            <w:tcW w:type="dxa" w:w="2160"/>
          </w:tcPr>
          <w:p>
            <w:r>
              <w:t>Prepare and buy</w:t>
            </w:r>
          </w:p>
        </w:tc>
        <w:tc>
          <w:tcPr>
            <w:tcW w:type="dxa" w:w="2160"/>
          </w:tcPr>
          <w:p>
            <w:r>
              <w:t>Receive and pay</w:t>
            </w:r>
          </w:p>
        </w:tc>
        <w:tc>
          <w:tcPr>
            <w:tcW w:type="dxa" w:w="2160"/>
          </w:tcPr>
          <w:p>
            <w:r>
              <w:t>Improve and govern</w:t>
            </w:r>
          </w:p>
        </w:tc>
      </w:tr>
      <w:tr>
        <w:tc>
          <w:tcPr>
            <w:tcW w:type="dxa" w:w="2160"/>
          </w:tcPr>
          <w:p>
            <w:r>
              <w:t>1. Store/market demand</w:t>
            </w:r>
          </w:p>
        </w:tc>
        <w:tc>
          <w:tcPr>
            <w:tcW w:type="dxa" w:w="2160"/>
          </w:tcPr>
          <w:p>
            <w:r>
              <w:t>7. Supplier item intake</w:t>
            </w:r>
          </w:p>
        </w:tc>
        <w:tc>
          <w:tcPr>
            <w:tcW w:type="dxa" w:w="2160"/>
          </w:tcPr>
          <w:p>
            <w:r>
              <w:t>13. Delivery evidence</w:t>
            </w:r>
          </w:p>
        </w:tc>
        <w:tc>
          <w:tcPr>
            <w:tcW w:type="dxa" w:w="2160"/>
          </w:tcPr>
          <w:p>
            <w:r>
              <w:t>19. Supplier performance</w:t>
            </w:r>
          </w:p>
        </w:tc>
      </w:tr>
      <w:tr>
        <w:tc>
          <w:tcPr>
            <w:tcW w:type="dxa" w:w="2160"/>
          </w:tcPr>
          <w:p>
            <w:r>
              <w:t>2. Existing coverage search</w:t>
            </w:r>
          </w:p>
        </w:tc>
        <w:tc>
          <w:tcPr>
            <w:tcW w:type="dxa" w:w="2160"/>
          </w:tcPr>
          <w:p>
            <w:r>
              <w:t>8. Item identity resolution</w:t>
            </w:r>
          </w:p>
        </w:tc>
        <w:tc>
          <w:tcPr>
            <w:tcW w:type="dxa" w:w="2160"/>
          </w:tcPr>
          <w:p>
            <w:r>
              <w:t>14. Receipt acceptance/returns</w:t>
            </w:r>
          </w:p>
        </w:tc>
        <w:tc>
          <w:tcPr>
            <w:tcW w:type="dxa" w:w="2160"/>
          </w:tcPr>
          <w:p>
            <w:r>
              <w:t>20. Expiring document renewal</w:t>
            </w:r>
          </w:p>
        </w:tc>
      </w:tr>
      <w:tr>
        <w:tc>
          <w:tcPr>
            <w:tcW w:type="dxa" w:w="2160"/>
          </w:tcPr>
          <w:p>
            <w:r>
              <w:t>3. Candidate discovery</w:t>
            </w:r>
          </w:p>
        </w:tc>
        <w:tc>
          <w:tcPr>
            <w:tcW w:type="dxa" w:w="2160"/>
          </w:tcPr>
          <w:p>
            <w:r>
              <w:t>9. Packaging/unit approval</w:t>
            </w:r>
          </w:p>
        </w:tc>
        <w:tc>
          <w:tcPr>
            <w:tcW w:type="dxa" w:w="2160"/>
          </w:tcPr>
          <w:p>
            <w:r>
              <w:t>15. Invoice capture</w:t>
            </w:r>
          </w:p>
        </w:tc>
        <w:tc>
          <w:tcPr>
            <w:tcW w:type="dxa" w:w="2160"/>
          </w:tcPr>
          <w:p>
            <w:r>
              <w:t>21. Reference stewardship</w:t>
            </w:r>
          </w:p>
        </w:tc>
      </w:tr>
      <w:tr>
        <w:tc>
          <w:tcPr>
            <w:tcW w:type="dxa" w:w="2160"/>
          </w:tcPr>
          <w:p>
            <w:r>
              <w:t>4. Legal entity/site onboarding</w:t>
            </w:r>
          </w:p>
        </w:tc>
        <w:tc>
          <w:tcPr>
            <w:tcW w:type="dxa" w:w="2160"/>
          </w:tcPr>
          <w:p>
            <w:r>
              <w:t>10. Digital content enrichment</w:t>
            </w:r>
          </w:p>
        </w:tc>
        <w:tc>
          <w:tcPr>
            <w:tcW w:type="dxa" w:w="2160"/>
          </w:tcPr>
          <w:p>
            <w:r>
              <w:t>16. PO/item/receipt matching</w:t>
            </w:r>
          </w:p>
        </w:tc>
        <w:tc>
          <w:tcPr>
            <w:tcW w:type="dxa" w:w="2160"/>
          </w:tcPr>
          <w:p>
            <w:r>
              <w:t>22. Exception analytics</w:t>
            </w:r>
          </w:p>
        </w:tc>
      </w:tr>
      <w:tr>
        <w:tc>
          <w:tcPr>
            <w:tcW w:type="dxa" w:w="2160"/>
          </w:tcPr>
          <w:p>
            <w:r>
              <w:t>5. Market/route qualification</w:t>
            </w:r>
          </w:p>
        </w:tc>
        <w:tc>
          <w:tcPr>
            <w:tcW w:type="dxa" w:w="2160"/>
          </w:tcPr>
          <w:p>
            <w:r>
              <w:t>11. Quote/price agreement</w:t>
            </w:r>
          </w:p>
        </w:tc>
        <w:tc>
          <w:tcPr>
            <w:tcW w:type="dxa" w:w="2160"/>
          </w:tcPr>
          <w:p>
            <w:r>
              <w:t>17. Dispute resolution</w:t>
            </w:r>
          </w:p>
        </w:tc>
        <w:tc>
          <w:tcPr>
            <w:tcW w:type="dxa" w:w="2160"/>
          </w:tcPr>
          <w:p>
            <w:r>
              <w:t>23. Access/audit management</w:t>
            </w:r>
          </w:p>
        </w:tc>
      </w:tr>
      <w:tr>
        <w:tc>
          <w:tcPr>
            <w:tcW w:type="dxa" w:w="2160"/>
          </w:tcPr>
          <w:p>
            <w:r>
              <w:t>6. Approval/renewal</w:t>
            </w:r>
          </w:p>
        </w:tc>
        <w:tc>
          <w:tcPr>
            <w:tcW w:type="dxa" w:w="2160"/>
          </w:tcPr>
          <w:p>
            <w:r>
              <w:t>12. PO creation/change</w:t>
            </w:r>
          </w:p>
        </w:tc>
        <w:tc>
          <w:tcPr>
            <w:tcW w:type="dxa" w:w="2160"/>
          </w:tcPr>
          <w:p>
            <w:r>
              <w:t>18. Excel/export/payment handoff</w:t>
            </w:r>
          </w:p>
        </w:tc>
        <w:tc>
          <w:tcPr>
            <w:tcW w:type="dxa" w:w="2160"/>
          </w:tcPr>
          <w:p>
            <w:r>
              <w:t>24. Rule and model evaluation</w:t>
            </w:r>
          </w:p>
        </w:tc>
      </w:tr>
    </w:tbl>
    <w:p>
      <w:pPr>
        <w:pStyle w:val="Heading2"/>
      </w:pPr>
      <w:r>
        <w:t>Delivery plan and people</w:t>
      </w:r>
    </w:p>
    <w:p>
      <w:r>
        <w:t>The estimates below are planning ranges, not measured delivery commitments. They assume reference owners are available and the first production scope stays with one invoice, one PO, one currency and one tax treatment per file.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Outcome and exit evidence</w:t>
            </w:r>
          </w:p>
        </w:tc>
        <w:tc>
          <w:tcPr>
            <w:tcW w:type="dxa" w:w="2880"/>
          </w:tcPr>
          <w:p>
            <w:r>
              <w:t>Indicative duration</w:t>
            </w:r>
          </w:p>
        </w:tc>
      </w:tr>
      <w:tr>
        <w:tc>
          <w:tcPr>
            <w:tcW w:type="dxa" w:w="2880"/>
          </w:tcPr>
          <w:p>
            <w:r>
              <w:t>Current release</w:t>
            </w:r>
          </w:p>
        </w:tc>
        <w:tc>
          <w:tcPr>
            <w:tcW w:type="dxa" w:w="2880"/>
          </w:tcPr>
          <w:p>
            <w:r>
              <w:t>Real UI, visible stages, lookup, draft and connection-transfer paths</w:t>
            </w:r>
          </w:p>
        </w:tc>
        <w:tc>
          <w:tcPr>
            <w:tcW w:type="dxa" w:w="2880"/>
          </w:tcPr>
          <w:p>
            <w:r>
              <w:t>Integrated suite and hosted reader/lookup/control checks passed</w:t>
            </w:r>
          </w:p>
        </w:tc>
      </w:tr>
      <w:tr>
        <w:tc>
          <w:tcPr>
            <w:tcW w:type="dxa" w:w="2880"/>
          </w:tcPr>
          <w:p>
            <w:r>
              <w:t>Hosted pilot</w:t>
            </w:r>
          </w:p>
        </w:tc>
        <w:tc>
          <w:tcPr>
            <w:tcW w:type="dxa" w:w="2880"/>
          </w:tcPr>
          <w:p>
            <w:r>
              <w:t>Three-reader and exact-batch synthetic workflow; persisted evidence recovered after instance replacement; native 193-row, Paddle 96/99, managed-AI 97/99, two-real-invoice review-workbook, lookup, deletion/model and cancel-dialog checks passed</w:t>
            </w:r>
          </w:p>
        </w:tc>
        <w:tc>
          <w:tcPr>
            <w:tcW w:type="dxa" w:w="2880"/>
          </w:tcPr>
          <w:p>
            <w:r>
              <w:t>Final revision 00009-vxw live; owner-only allowlist and unauthenticated-denial cleanup passed</w:t>
            </w:r>
          </w:p>
        </w:tc>
      </w:tr>
      <w:tr>
        <w:tc>
          <w:tcPr>
            <w:tcW w:type="dxa" w:w="2880"/>
          </w:tcPr>
          <w:p>
            <w:r>
              <w:t>Data contract pilot</w:t>
            </w:r>
          </w:p>
        </w:tc>
        <w:tc>
          <w:tcPr>
            <w:tcW w:type="dxa" w:w="2880"/>
          </w:tcPr>
          <w:p>
            <w:r>
              <w:t>Full source profiles, explicit mappings, approved missing values, target workbook accepted</w:t>
            </w:r>
          </w:p>
        </w:tc>
        <w:tc>
          <w:tcPr>
            <w:tcW w:type="dxa" w:w="2880"/>
          </w:tcPr>
          <w:p>
            <w:r>
              <w:t>1–2 weeks</w:t>
            </w:r>
          </w:p>
        </w:tc>
      </w:tr>
      <w:tr>
        <w:tc>
          <w:tcPr>
            <w:tcW w:type="dxa" w:w="2880"/>
          </w:tcPr>
          <w:p>
            <w:r>
              <w:t>Supplier evaluation</w:t>
            </w:r>
          </w:p>
        </w:tc>
        <w:tc>
          <w:tcPr>
            <w:tcW w:type="dxa" w:w="2880"/>
          </w:tcPr>
          <w:p>
            <w:r>
              <w:t>At least 100 representative invoices across priority suppliers/languages; adjudicated field and line truth</w:t>
            </w:r>
          </w:p>
        </w:tc>
        <w:tc>
          <w:tcPr>
            <w:tcW w:type="dxa" w:w="2880"/>
          </w:tcPr>
          <w:p>
            <w:r>
              <w:t>2–3 weeks</w:t>
            </w:r>
          </w:p>
        </w:tc>
      </w:tr>
      <w:tr>
        <w:tc>
          <w:tcPr>
            <w:tcW w:type="dxa" w:w="2880"/>
          </w:tcPr>
          <w:p>
            <w:r>
              <w:t>Production pilot</w:t>
            </w:r>
          </w:p>
        </w:tc>
        <w:tc>
          <w:tcPr>
            <w:tcW w:type="dxa" w:w="2880"/>
          </w:tcPr>
          <w:p>
            <w:r>
              <w:t>Roles, durable queue, backups, monitoring, controlled UAT and measured savings</w:t>
            </w:r>
          </w:p>
        </w:tc>
        <w:tc>
          <w:tcPr>
            <w:tcW w:type="dxa" w:w="2880"/>
          </w:tcPr>
          <w:p>
            <w:r>
              <w:t>3–5 weeks</w:t>
            </w:r>
          </w:p>
        </w:tc>
      </w:tr>
      <w:tr>
        <w:tc>
          <w:tcPr>
            <w:tcW w:type="dxa" w:w="2880"/>
          </w:tcPr>
          <w:p>
            <w:r>
              <w:t>Supplier platform expansion</w:t>
            </w:r>
          </w:p>
        </w:tc>
        <w:tc>
          <w:tcPr>
            <w:tcW w:type="dxa" w:w="2880"/>
          </w:tcPr>
          <w:p>
            <w:r>
              <w:t>Discovery, route onboarding, item intake and channel-content workflows</w:t>
            </w:r>
          </w:p>
        </w:tc>
        <w:tc>
          <w:tcPr>
            <w:tcW w:type="dxa" w:w="2880"/>
          </w:tcPr>
          <w:p>
            <w:r>
              <w:t>Scope and estimate after invoice pilot</w:t>
            </w:r>
          </w:p>
        </w:tc>
      </w:tr>
    </w:tbl>
    <w:p>
      <w:r>
        <w:t>A practical pilot team is one product/process owner, one AP expert, a reference-data steward, two engineers, and part-time QA/platform support. AI/ML expertise helps with evaluation and difficult layouts; a bespoke model-training team is not the initial dependency. These roles may overlap, but the people who approve reference meanings must be named.</w:t>
      </w:r>
    </w:p>
    <w:p>
      <w:r>
        <w:t>Size using measured pages and latency: required worker-hours = documents × average processing seconds ÷ 3,600. Add headroom for retries and model download/startup. AI cost = fallback documents × measured average input/output token cost. Keep an explicit monthly cap and record fallback share, tokens and latency. No universal accuracy or cost claim is made before the representative evaluation.</w:t>
      </w:r>
    </w:p>
    <w:p>
      <w:r>
        <w:t>Private measurements establish bounded behavior, not population-wide quality. Native PDF table extraction with AI off recovered 570/570 lines and 3,990/3,990 tested line facts across 15 PDFs from one layout family; the first batch took 24.6 seconds total and a warm batch 12.9 seconds total. A separate hosted native check recovered 193/193 rows, 6/6 headers and 1,351/1,351 line facts in 10.21 seconds. Paddle recovered 6/6 adjudicated scan lines and 60/60 tested header/identifier/numeric facts, while description accuracy remains unproven; the conservative 60/66 floor is 90.91%. On a separate challenging two-page scan, the 80.755-second local baseline recovered 23/23 rows, 6/7 headers and 90/99 checked facts (90.9%). Its bounded 86.542-second higher-resolution alternate met every selection gate and improved the whole result to 96/99 (97.0%): 21/23 SKUs and 23/23 quantities, prices and printed net amounts, while the absent PO stayed null. Combined local reader time was about 168 seconds and peak cgroup memory was 2.31 GiB. Revision 00007 took 134.082 seconds for the hosted baseline and correctly retained 90/99 under its 100-second eligibility gate and 240-second Paddle budget. Revision 00008 is live and makes the alternate eligible only when a baseline PDF has at most two pages, finishes within 150 seconds and is missing quantity or price. Paddle receives up to 360 seconds total and the alternate receives the exact remaining budget; Docling stays at 240 seconds. Its hosted Paddle run completed the adaptive path in 242.98 seconds and returned 23/23 rows and 96/99 checked facts (97.0%). The alternate replaces the baseline only if row count and invoice number/date/PO/currency/net/tax do not regress, missing quantity/price improves and printed net reconciles. The three earlier scans did not trigger it and retained their baseline results. Heavy local OCR work is serialized to fit the memory envelope while native/AI work can continue; an early alternate failure keeps the baseline. A separate hosted managed-AI check returned 23 rows and 97/99 checked facts in 16.18 seconds, preserved printed buyer name and left the internal buyer code null. Docling recovered 5/5, 1/1 and 17/17 native lines in bounded examples; on that challenging two-page scan, 278 measured OCR cells produced only 10/23 rows and position-exact source comparison found 0 SKUs, 1 quantity and 2 prices. A ten-page run exceeded 528 seconds. The earlier managed-AI corpus returned all source-tested fields exactly across 15 documents and 570 lines from one layout family. These cohorts cannot prove the expected 95% across suppliers, scans, languages and lengths.</w:t>
      </w:r>
    </w:p>
    <w:p>
      <w:r>
        <w:t>Managed Vertex used 36,450 input tokens and 91,892 output tokens including reasoning across 15 successful calls. At the current global introductory Gemini 3.7 Flash rates through 31 December 2026, calculated model usage is USD 0.3719325, or USD 24.7955 per 1,000 documents at the same mix. This is not an actual bill and excludes retries and infrastructure. See Google's Agent Platform pricing.</w:t>
      </w:r>
    </w:p>
    <w:p>
      <w:pPr>
        <w:pStyle w:val="Heading2"/>
      </w:pPr>
      <w:r>
        <w:t>How the proposed 90% target will be evaluated</w:t>
      </w:r>
    </w:p>
    <w:p>
      <w:r>
        <w:t>Freeze a gold set before tuning. A reviewer transcribes every expected header field and line cell, a second reviewer checks it against the source, and disagreements are adjudicated. Include expected missing values as explicit null, then hold the set out from template, prompt and model changes. Stratify results by supplier, native text versus scan, language, page-count band and document quality; preserve enough cases in each agreed stratum to expose a weak subgroup.</w:t>
      </w:r>
    </w:p>
    <w:p>
      <w:r>
        <w:t>Report three measures separately:</w:t>
      </w:r>
    </w:p>
    <w:p>
      <w:r>
        <w:t>1. Header-field exact accuracy: correct header cells divided by all gold header cells, including expected-null cells. Apply only contract-defined normalization such as ISO dates, Decimal representation and whitespace; do not use fuzzy credit for the wrong identifier.</w:t>
      </w:r>
    </w:p>
    <w:p>
      <w:r>
        <w:t>2. Line extraction accuracy: first align predicted and gold lines by adjudicated document order/evidence, then report line recall and exact cell accuracy across item identifiers, description, quantity, unit, price and evidence page. Missing, extra and misaligned lines count as errors.</w:t>
      </w:r>
    </w:p>
    <w:p>
      <w:r>
        <w:t>3. Zero-correction invoice rate: invoices for which the reviewer changes no extracted header or line value divided by every attempted invoice.</w:t>
      </w:r>
    </w:p>
    <w:p>
      <w:r>
        <w:t>Errors, timeouts, rejected schemas and empty outputs remain in every denominator and score zero for the affected invoice. Arithmetic reconciliation, schema validity and completeness are reported as diagnostics, not accuracy. The proposed pilot gate is at least 90% header-field exact accuracy, 90% line-cell exact accuracy and 90% zero-correction invoices, with zero false-ready approved invoices. Each agreed supplier/language/scan stratum must also meet the owner-set minimum before release; an aggregate score cannot hide a failing subgroup. Record confidence intervals, correction reasons, provider/model/revision, latency, tokens and cost. A controlled reviewer signs the frozen comparison and finance/data owners decide whether failures require rule changes, supplier-specific templates or continued manual handling. These are acceptance targets, not achieved results.</w:t>
      </w:r>
    </w:p>
    <w:p>
      <w:pPr>
        <w:pStyle w:val="Heading2"/>
      </w:pPr>
      <w:r>
        <w:t>Decisions to settle during the pilot</w:t>
      </w:r>
    </w:p>
    <w:p>
      <w:r>
        <w:t>1. Which source field proves receipt acceptance, and which represents cumulative already-invoiced quantity outside this application?</w:t>
      </w:r>
    </w:p>
    <w:p>
      <w:r>
        <w:t>2. Which entity owns each buying company, supplier site, market route and tax rule?</w:t>
      </w:r>
    </w:p>
    <w:p>
      <w:r>
        <w:t>3. Which invoice formats, languages and edge cases are in the initial business acceptance set?</w:t>
      </w:r>
    </w:p>
    <w:p>
      <w:r>
        <w:t>4. Which provider/account may receive invoice content, and what retention and budget settings apply?</w:t>
      </w:r>
    </w:p>
    <w:p>
      <w:r>
        <w:t>5. Who signs off the generated workbook against the receiving process?</w:t>
      </w:r>
    </w:p>
    <w:p>
      <w:r>
        <w:t>These are business-data decisions. They do not prevent local reading or a synthetic demonstration; they prevent claiming that a real invoice is ready when evidence is absent.</w:t>
      </w:r>
    </w:p>
    <w:p>
      <w:pPr>
        <w:pStyle w:val="Heading2"/>
      </w:pPr>
      <w:r>
        <w:t>Source references</w:t>
      </w:r>
    </w:p>
    <w:p>
      <w:r>
        <w:t>Implementation choices should be rechecked when dependencies or provider interfaces change. Primary sources used for this build:</w:t>
      </w:r>
    </w:p>
    <w:p>
      <w:pPr>
        <w:pStyle w:val="ListBullet"/>
      </w:pPr>
      <w:r>
        <w:t>invoice2data code and templates.</w:t>
      </w:r>
    </w:p>
    <w:p>
      <w:pPr>
        <w:pStyle w:val="ListBullet"/>
      </w:pPr>
      <w:r>
        <w:t>PaddleOCR code and model documentation.</w:t>
      </w:r>
    </w:p>
    <w:p>
      <w:pPr>
        <w:pStyle w:val="ListBullet"/>
      </w:pPr>
      <w:r>
        <w:t>Docling code and supported conversion workflow.</w:t>
      </w:r>
    </w:p>
    <w:p>
      <w:pPr>
        <w:pStyle w:val="ListBullet"/>
      </w:pPr>
      <w:r>
        <w:t>Vertex AI Gemini model guide, structured output and Application Default Credentials.</w:t>
      </w:r>
    </w:p>
    <w:p>
      <w:pPr>
        <w:pStyle w:val="ListBullet"/>
      </w:pPr>
      <w:r>
        <w:t>OpenAI structured outputs and file inputs.</w:t>
      </w:r>
    </w:p>
    <w:p>
      <w:pPr>
        <w:pStyle w:val="ListBullet"/>
      </w:pPr>
      <w:r>
        <w:t>Official ChatGPT token sharing for open-source/local applications.</w:t>
      </w:r>
    </w:p>
    <w:p>
      <w:pPr>
        <w:pStyle w:val="ListBullet"/>
      </w:pPr>
      <w:r>
        <w:t>Anthropic structured outputs and PDF support.</w:t>
      </w:r>
    </w:p>
    <w:p>
      <w:pPr>
        <w:pStyle w:val="ListBullet"/>
      </w:pPr>
      <w:r>
        <w:t>Claude CLI reference and Claude-plan SDK policy. Account availability and provider policy must be checked at connection time.</w:t>
      </w:r>
    </w:p>
    <w:p>
      <w:r>
        <w:br w:type="page"/>
      </w:r>
    </w:p>
    <w:p>
      <w:pPr>
        <w:pStyle w:val="Heading1"/>
      </w:pPr>
      <w:r>
        <w:t>Reference data and Excel contract</w:t>
      </w:r>
    </w:p>
    <w:p>
      <w:pPr>
        <w:pStyle w:val="Heading2"/>
      </w:pPr>
      <w:r>
        <w:t>Keep three types of data separate</w:t>
      </w:r>
    </w:p>
    <w:p>
      <w:r>
        <w:t>An invoice states what the supplier is charging. Reference data identifies approved suppliers, items, orders and accepted receipts. The target workbook is the output format. A completed target workbook is valuable for checking columns and types, but it does not prove supplier approval, a purchase order balance or receipt acceptance.</w:t>
      </w:r>
    </w:p>
    <w:p>
      <w:r>
        <w:t>Identifiers are stored as strings, preserving leading zeros. Strip surrounding Unicode whitespace; do not remove internal characters or coerce identifiers through floating-point numbers. Money and quantities use decimal arithmetic. Dates must resolve to ISO YYYY-MM-DD before export. Ambiguous dates need review.</w:t>
      </w:r>
    </w:p>
    <w:p>
      <w:pPr>
        <w:pStyle w:val="Heading2"/>
      </w:pPr>
      <w:r>
        <w:t>Canonical reference import</w:t>
      </w:r>
    </w:p>
    <w:p>
      <w:r>
        <w:t>Download the populated synthetic template, replace its contents with approved records, and retain its exact headers. JSON equivalents use the keys below. ODS uses the same seven sheet names. Imports validate joins and duplicate keys before replacing the active snapshot. Changing a snapshot invalidates all unexported reviews and pending processing plans.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Sheet / JSON key</w:t>
            </w:r>
          </w:p>
        </w:tc>
        <w:tc>
          <w:tcPr>
            <w:tcW w:type="dxa" w:w="2880"/>
          </w:tcPr>
          <w:p>
            <w:r>
              <w:t>Required columns</w:t>
            </w:r>
          </w:p>
        </w:tc>
        <w:tc>
          <w:tcPr>
            <w:tcW w:type="dxa" w:w="2880"/>
          </w:tcPr>
          <w:p>
            <w:r>
              <w:t>Meaning</w:t>
            </w:r>
          </w:p>
        </w:tc>
      </w:tr>
      <w:tr>
        <w:tc>
          <w:tcPr>
            <w:tcW w:type="dxa" w:w="2880"/>
          </w:tcPr>
          <w:p>
            <w:r>
              <w:t>Suppliers / sites</w:t>
            </w:r>
          </w:p>
        </w:tc>
        <w:tc>
          <w:tcPr>
            <w:tcW w:type="dxa" w:w="2880"/>
          </w:tcPr>
          <w:p>
            <w:r>
              <w:t>id, seller, name, country</w:t>
            </w:r>
          </w:p>
        </w:tc>
        <w:tc>
          <w:tcPr>
            <w:tcW w:type="dxa" w:w="2880"/>
          </w:tcPr>
          <w:p>
            <w:r>
              <w:t>Operational site ID, supplier legal entity ID, approved invoice-facing name, country</w:t>
            </w:r>
          </w:p>
        </w:tc>
      </w:tr>
      <w:tr>
        <w:tc>
          <w:tcPr>
            <w:tcW w:type="dxa" w:w="2880"/>
          </w:tcPr>
          <w:p>
            <w:r>
              <w:t>Routes / routes</w:t>
            </w:r>
          </w:p>
        </w:tc>
        <w:tc>
          <w:tcPr>
            <w:tcW w:type="dxa" w:w="2880"/>
          </w:tcPr>
          <w:p>
            <w:r>
              <w:t>site, buyer, origin, market, currency, status</w:t>
            </w:r>
          </w:p>
        </w:tc>
        <w:tc>
          <w:tcPr>
            <w:tcW w:type="dxa" w:w="2880"/>
          </w:tcPr>
          <w:p>
            <w:r>
              <w:t>Full commercial route; only approved is usable</w:t>
            </w:r>
          </w:p>
        </w:tc>
      </w:tr>
      <w:tr>
        <w:tc>
          <w:tcPr>
            <w:tcW w:type="dxa" w:w="2880"/>
          </w:tcPr>
          <w:p>
            <w:r>
              <w:t>Items / items</w:t>
            </w:r>
          </w:p>
        </w:tc>
        <w:tc>
          <w:tcPr>
            <w:tcW w:type="dxa" w:w="2880"/>
          </w:tcPr>
          <w:p>
            <w:r>
              <w:t>id, site, sku, gtin, uom</w:t>
            </w:r>
          </w:p>
        </w:tc>
        <w:tc>
          <w:tcPr>
            <w:tcW w:type="dxa" w:w="2880"/>
          </w:tcPr>
          <w:p>
            <w:r>
              <w:t>Internal item ID, supplier-site item code, optional barcode, purchasing unit</w:t>
            </w:r>
          </w:p>
        </w:tc>
      </w:tr>
      <w:tr>
        <w:tc>
          <w:tcPr>
            <w:tcW w:type="dxa" w:w="2880"/>
          </w:tcPr>
          <w:p>
            <w:r>
              <w:t>POs / orders</w:t>
            </w:r>
          </w:p>
        </w:tc>
        <w:tc>
          <w:tcPr>
            <w:tcW w:type="dxa" w:w="2880"/>
          </w:tcPr>
          <w:p>
            <w:r>
              <w:t>id, site, buyer, origin, market, currency, location, location_type, status</w:t>
            </w:r>
          </w:p>
        </w:tc>
        <w:tc>
          <w:tcPr>
            <w:tcW w:type="dxa" w:w="2880"/>
          </w:tcPr>
          <w:p>
            <w:r>
              <w:t>Exact PO scope; status open; location type Store (S) or Warehouse (W)</w:t>
            </w:r>
          </w:p>
        </w:tc>
      </w:tr>
      <w:tr>
        <w:tc>
          <w:tcPr>
            <w:tcW w:type="dxa" w:w="2880"/>
          </w:tcPr>
          <w:p>
            <w:r>
              <w:t>POLines / nested orders.lines</w:t>
            </w:r>
          </w:p>
        </w:tc>
        <w:tc>
          <w:tcPr>
            <w:tcW w:type="dxa" w:w="2880"/>
          </w:tcPr>
          <w:p>
            <w:r>
              <w:t>po, id, item, ordered, invoiced, price, uom</w:t>
            </w:r>
          </w:p>
        </w:tc>
        <w:tc>
          <w:tcPr>
            <w:tcW w:type="dxa" w:w="2880"/>
          </w:tcPr>
          <w:p>
            <w:r>
              <w:t>Ordered quantity; external baseline already invoiced; approved unit cost</w:t>
            </w:r>
          </w:p>
        </w:tc>
      </w:tr>
      <w:tr>
        <w:tc>
          <w:tcPr>
            <w:tcW w:type="dxa" w:w="2880"/>
          </w:tcPr>
          <w:p>
            <w:r>
              <w:t>Receipts / receipts</w:t>
            </w:r>
          </w:p>
        </w:tc>
        <w:tc>
          <w:tcPr>
            <w:tcW w:type="dxa" w:w="2880"/>
          </w:tcPr>
          <w:p>
            <w:r>
              <w:t>id, po, line, qty, status</w:t>
            </w:r>
          </w:p>
        </w:tc>
        <w:tc>
          <w:tcPr>
            <w:tcW w:type="dxa" w:w="2880"/>
          </w:tcPr>
          <w:p>
            <w:r>
              <w:t>Receipt line, exact PO line; status accepted/pending/rejected</w:t>
            </w:r>
          </w:p>
        </w:tc>
      </w:tr>
      <w:tr>
        <w:tc>
          <w:tcPr>
            <w:tcW w:type="dxa" w:w="2880"/>
          </w:tcPr>
          <w:p>
            <w:r>
              <w:t>TaxRules / taxRules</w:t>
            </w:r>
          </w:p>
        </w:tc>
        <w:tc>
          <w:tcPr>
            <w:tcW w:type="dxa" w:w="2880"/>
          </w:tcPr>
          <w:p>
            <w:r>
              <w:t>origin, market, currency, code, rate</w:t>
            </w:r>
          </w:p>
        </w:tc>
        <w:tc>
          <w:tcPr>
            <w:tcW w:type="dxa" w:w="2880"/>
          </w:tcPr>
          <w:p>
            <w:r>
              <w:t>Explicit approved tax treatment; rate is a fraction such as 0.05</w:t>
            </w:r>
          </w:p>
        </w:tc>
      </w:tr>
    </w:tbl>
    <w:p>
      <w:r>
        <w:t>In JSON, PO lines are nested under each order and omit po. Supplier aliases may be a list of approved alternative names. A supplier name mismatch is a hold; the name is not silently ignored because an AI model found a PO number.</w:t>
      </w:r>
    </w:p>
    <w:p>
      <w:r>
        <w:t>An accepted negative receipt represents a return. Available receipt balance = sum of accepted receipt quantities − external already-invoiced baseline − quantities allocated by this installation. The baseline must exclude this installation's exports to avoid double-counting. This model assumes an approved snapshot and does not invent a settlement history from receipt rows.</w:t>
      </w:r>
    </w:p>
    <w:p>
      <w:r>
        <w:t>PO location type is explicit. Prefixes such as 900 do not prove warehouse versus store. The printed buyer name is a source fact and is stored separately from the internal buyer/company code. A name or address cannot populate that code without approved reference evidence. Same-name suppliers in different companies or sites are not interchangeable. Currency equality does not prove domestic supply. Invoice-line item_id means the approved internal item only; AI leaves it null, and the supplier SKU never falls back into it. An operator may enter it manually or confirm it from reference evidence. A missing GTIN can remain blank when an exact supplier-site SKU maps uniquely to an internal item; conflicting SKU/GTIN identity is held.</w:t>
      </w:r>
    </w:p>
    <w:p>
      <w:pPr>
        <w:pStyle w:val="Heading2"/>
      </w:pPr>
      <w:r>
        <w:t>Large source extracts</w:t>
      </w:r>
    </w:p>
    <w:p>
      <w:r>
        <w:t>Keep original files immutable, compute a SHA-256 hash, inspect every populated cell and build a profile with source sheet/row/column provenance. Map fields into a staging model before proposing a canonical snapshot. Report duplicates, one-to-many joins, missing internal scope, formula/cached-value differences and date/identifier conversion risks.</w:t>
      </w:r>
    </w:p>
    <w:p>
      <w:r>
        <w:t>Do not resolve conflicting item records with “first row wins.” Fuzzy product-name search may use price, quantity and unit as ranking clues, but the operator must inspect source provenance and explicitly confirm a candidate. A rank never approves an item. Do not treat repeated receipt rows as new goods without proving the row grain. Do not substitute ordered quantity for accepted quantity. A source value called received or shipped still needs its business definition confirmed. Missing company, approval, currency or tax values stay unresolved until the data owner supplies the rule.</w:t>
      </w:r>
    </w:p>
    <w:p>
      <w:r>
        <w:t>The portal's canonical import is deliberately bounded (12 MB compressed, 30 MB expanded, 50,000 rows per worksheet). Large raw extracts are handled by separate private staging/profiling. They are not silently truncated or uploaded to AI. A scalable source adapter is a distinct integration step with its own approval and regression tests.</w:t>
      </w:r>
    </w:p>
    <w:p>
      <w:pPr>
        <w:pStyle w:val="Heading2"/>
      </w:pPr>
      <w:r>
        <w:t>Exact output</w:t>
      </w:r>
    </w:p>
    <w:tbl>
      <w:tblPr>
        <w:tblStyle w:val="LightShading-Accent1"/>
        <w:tblW w:type="auto" w:w="0"/>
        <w:tblLook w:firstColumn="1" w:firstRow="1" w:lastColumn="0" w:lastRow="0" w:noHBand="0" w:noVBand="1" w:val="04A0"/>
      </w:tblPr>
      <w:tblGrid>
        <w:gridCol w:w="4320"/>
        <w:gridCol w:w="4320"/>
      </w:tblGrid>
      <w:tr>
        <w:tc>
          <w:tcPr>
            <w:tcW w:type="dxa" w:w="4320"/>
          </w:tcPr>
          <w:p>
            <w:r>
              <w:t>Sheet</w:t>
            </w:r>
          </w:p>
        </w:tc>
        <w:tc>
          <w:tcPr>
            <w:tcW w:type="dxa" w:w="4320"/>
          </w:tcPr>
          <w:p>
            <w:r>
              <w:t>Columns, in order</w:t>
            </w:r>
          </w:p>
        </w:tc>
      </w:tr>
      <w:tr>
        <w:tc>
          <w:tcPr>
            <w:tcW w:type="dxa" w:w="4320"/>
          </w:tcPr>
          <w:p>
            <w:r>
              <w:t>Header</w:t>
            </w:r>
          </w:p>
        </w:tc>
        <w:tc>
          <w:tcPr>
            <w:tcW w:type="dxa" w:w="4320"/>
          </w:tcPr>
          <w:p>
            <w:r>
              <w:t>TransactionNumber, Document, SupplierSite, OrderNo, Location, LocationType, DocumentDate, TotalCostExTax, TaxAmount, Ref1, Ref2, Ref3, Comment</w:t>
            </w:r>
          </w:p>
        </w:tc>
      </w:tr>
      <w:tr>
        <w:tc>
          <w:tcPr>
            <w:tcW w:type="dxa" w:w="4320"/>
          </w:tcPr>
          <w:p>
            <w:r>
              <w:t>Tax_Breakdown</w:t>
            </w:r>
          </w:p>
        </w:tc>
        <w:tc>
          <w:tcPr>
            <w:tcW w:type="dxa" w:w="4320"/>
          </w:tcPr>
          <w:p>
            <w:r>
              <w:t>TransactionNumber, TaxCode, TaxBasis</w:t>
            </w:r>
          </w:p>
        </w:tc>
      </w:tr>
      <w:tr>
        <w:tc>
          <w:tcPr>
            <w:tcW w:type="dxa" w:w="4320"/>
          </w:tcPr>
          <w:p>
            <w:r>
              <w:t>Details</w:t>
            </w:r>
          </w:p>
        </w:tc>
        <w:tc>
          <w:tcPr>
            <w:tcW w:type="dxa" w:w="4320"/>
          </w:tcPr>
          <w:p>
            <w:r>
              <w:t>TransactionNumber, Item, UPC, UnitCost, Quantity, UnitTaxCode</w:t>
            </w:r>
          </w:p>
        </w:tc>
      </w:tr>
    </w:tbl>
    <w:p>
      <w:r>
        <w:t>TransactionNumber is a workbook-local integer starting at 1. It is the join key, not the supplier's invoice number. Document stays text to preserve leading zeros; UPC stays text to preserve long barcodes. IDs without leading zeros and with at most 15 digits may be numeric to match the target examples; otherwise they remain text. Dates are real Excel dates, and costs/quantities are numeric cells. There are no helper columns or generated formulas. Ref1/2/3 and Comment are empty unless a future approved mapping defines them.</w:t>
      </w:r>
    </w:p>
    <w:p>
      <w:r>
        <w:t>The current contract supports one PO, one currency and one tax code per invoice. A tax rule supplies the rate; the application checks tax against rounded net × rate. Tolerances are explicitly configured and confirmed. Currency decimal places are explicit; KWD uses three in the default policy. Mixed taxes, freight, discounts and credits require an extension rather than an invented allocation.</w:t>
      </w:r>
    </w:p>
    <w:p>
      <w:pPr>
        <w:pStyle w:val="Heading2"/>
      </w:pPr>
      <w:r>
        <w:t>Readiness and traceability</w:t>
      </w:r>
    </w:p>
    <w:p>
      <w:r>
        <w:t>All required identities, route and PO scope, items, units, unit prices, accepted quantity balances, arithmetic and tax must pass. The operator must confirm evidence review. Review alone cannot override failed matching. Export revalidates against the latest ledger inside a database transaction, preventing two concurrent invoices from consuming the same available quantity.</w:t>
      </w:r>
    </w:p>
    <w:p>
      <w:r>
        <w:t>Every export records the reference version, policy and line allocations. Corrections and reader attempts are audited. A changed review revision is rejected rather than overwriting another edit. Previously exported invoices download their existing result; they are not reposted by repeated clicks.</w:t>
      </w:r>
    </w:p>
    <w:p>
      <w:r>
        <w:t>Permanent deletion removes the live source, job payload, detailed invoice audit and downloadable workbook only after explicit confirmation and revision checks. For an approved invoice, the service retains a minimal tombstone containing the invoice key and PO-line quantity allocations so duplicate and receipt controls remain correct, plus a minimal deletion audit. Provider backups, logs, object versions and soft-delete copies are governed by their separate retention policies.</w:t>
      </w:r>
    </w:p>
    <w:p>
      <w:r>
        <w:br w:type="page"/>
      </w:r>
    </w:p>
    <w:p>
      <w:pPr>
        <w:pStyle w:val="Heading1"/>
      </w:pPr>
      <w:r>
        <w:t>Operator guide: from invoice to checked workbook</w:t>
      </w:r>
    </w:p>
    <w:p>
      <w:r>
        <w:t>Owner roles proposed: AP process owner and reference-data steward. Review cadence: monthly during pilot, then quarterly. Individual owners must be assigned before business rollout.</w:t>
      </w:r>
    </w:p>
    <w:p>
      <w:pPr>
        <w:pStyle w:val="Heading2"/>
      </w:pPr>
      <w:r>
        <w:t>Before the first batch</w:t>
      </w:r>
    </w:p>
    <w:p>
      <w:r>
        <w:t>Open the hosted portal and sign in with the approved Firebase account, or run the local application. Final revision inv-studio-api-00009-vxw has 100% traffic; its extraction, lookup and control checks passed. The allowlist is owner-only, the owner account remained email-verified and unauthenticated API requests are denied. Real-document extraction and source lookup do not make reference records valid for approval.</w:t>
      </w:r>
    </w:p>
    <w:p>
      <w:r>
        <w:t>The data steward prepares a reference snapshot with approved supplier sites, routes, items, purchase orders, receipt balances and tax rules. Import it in References and check counts, hashes, version and recovery receipt. A target invoice example cannot substitute for this snapshot. Keep an untouched copy of every source and its profile. The private evidence catalog completed atomic cutover with 412,139 live rows—114,940 item and 297,199 PO/GRN—and a sanitized receipt beginning d06678. Authenticated API QA returned the expected rank-one exact-name and typo candidates, the expected PO result, no result for an impossible strict filter, and retained confirmation flags. Catalog results stay evidence only until supplier/site mappings, accepted-receipt meaning and prior-invoicing baseline are approved.</w:t>
      </w:r>
    </w:p>
    <w:p>
      <w:r>
        <w:t>The AP owner agrees price and total tolerances and the currency precision. Start with exact price matching; broaden a tolerance only for a documented business reason. Connect an AI provider if wanted, retrieve its model list and choose the model. A key shown as saved has only been encrypted and stored; successful model retrieval or a provider probe verifies access. If there is no selected connected model, the UI may offer an available model from a connected provider. It does not silently replace a user's still-connected model. The hosted workspace can offer managed Google Cloud AI through its service identity; usage is charged to the configured Google Cloud project and still requires processing-plan confirmation. OpenAI and Anthropic use API keys. The server-side Claude CLI can use an encrypted setup token where the CLI is installed. ChatGPT begins with local OAuth under the application's own registration, then an explicit export/import moves the credential to the authenticated hosted owner workspace. Live subscription access and inference must be checked with the owner's account; automated adapter tests do not prove eligibility.</w:t>
      </w:r>
    </w:p>
    <w:p>
      <w:pPr>
        <w:pStyle w:val="Heading2"/>
      </w:pPr>
      <w:r>
        <w:t>Daily process</w:t>
      </w:r>
    </w:p>
    <w:p>
      <w:r>
        <w:t>1. Select invoices. Add several files together, with one invoice per file. Split PDFs containing several invoices. The workspace runs up to two jobs at once and leaves the rest visibly queued.</w:t>
      </w:r>
    </w:p>
    <w:p>
      <w:r>
        <w:t>2. Review the plan. Check filenames, reader, language, fallback, provider/model, reference version and tolerances. Confirm to start. Cancel makes no extraction request.</w:t>
      </w:r>
    </w:p>
    <w:p>
      <w:r>
        <w:t>3. Watch the stages. Each invoice progresses independently. The selected job shows stages such as template matching, native PDF text, conservative layout extraction, OCR/document conversion, AI fallback and validation. On a scan, the invoice2data route can use Paddle for image text and says so in the trace. For a readable PDF with no supplier template, automatic mode keeps native text and skips expensive image OCR. Native rules require a strong invoice heading, reject purchase orders, extract only explicit labels/spatial rows and leave ambiguous or internal business fields empty. The trace distinguishes an engine failure from a completed text-only read with zero structured items. Missing credentials or provider failure creates a visible exception.</w:t>
      </w:r>
    </w:p>
    <w:p>
      <w:r>
        <w:t>4. Inspect the evidence. Use Select processed to work through completed records. Open each result, check supplier, printed buyer name, internal buyer/company code, invoice number/date, PO and every line against the document, and save before moving to another invoice. A printed company name never proves an internal buyer code. Unsaved changes stay in the form and block batch download; there is no hidden autosave. Field completeness is read coverage, not proof of accuracy.</w:t>
      </w:r>
    </w:p>
    <w:p>
      <w:r>
        <w:t>5. Resolve holds. Correct a misread field, or ask the data steward to repair missing reference evidence. Product-name search can rank candidates with exact identifiers plus price, quantity and unit clues; inspect the source row and confirm the item yourself. The line's internal Item value comes only from manual entry or confirmed reference item_id; AI leaves it empty and a supplier SKU never substitutes for it. Save edits and revalidate. Do not change a master record simply to make an invoice pass.</w:t>
      </w:r>
    </w:p>
    <w:p>
      <w:r>
        <w:t>6. Confirm review. This acknowledges comparison with source evidence. The backend still checks every rule; confirmation does not bypass a hold.</w:t>
      </w:r>
    </w:p>
    <w:p>
      <w:r>
        <w:t>7. Choose the correct combined workbook. Download review workbook combines saved processed records and leaves unknown codes blank. It is marked EXTRACTION_REVIEW_ONLY and changes no job, approval, ledger or receipt allocation. Export approved accepts only selected ready invoices, revalidates references and reserves receipt quantities atomically. Never treat the review workbook as the approved import.</w:t>
      </w:r>
    </w:p>
    <w:p>
      <w:r>
        <w:t>8. Use a manual draft only when required. The manual editor exposes all 13 Header, 3 Tax_Breakdown and 6 Details fields and works even while OCR is queued or processing. Check every value and arithmetic, acknowledge that it is unvalidated, then download. The file says DRAFT_UNVALIDATED; it does not validate references, reserve a receipt, approve the invoice or change the extraction job.</w:t>
      </w:r>
    </w:p>
    <w:p>
      <w:r>
        <w:t>9. Retain evidence. Keep source files, reference versions, reviews and approved export receipts together. Retain the manual-draft audit separately from the approved ledger. Local mode uses .data; hosted mode uses Cloud SQL and private Cloud Storage. Back up database, source evidence and the corresponding encryption-key version together. Drain active work before a deployment; a database backup-restoration exercise is still required before business production.</w:t>
      </w:r>
    </w:p>
    <w:p>
      <w:r>
        <w:t>10. Delete only with the retention boundary understood. Permanent deletion requires explicit confirmation and current job revisions. It removes live source objects, job payloads, detailed audit evidence and downloadable workbooks. For an approved invoice, the service keeps only the invoice key and PO-line quantity allocations needed for duplicate/receipt controls, plus a minimal deletion audit. Provider backups, logs, object versions and soft-delete copies follow the provider's retention schedule and are not erased by this action.</w:t>
      </w:r>
    </w:p>
    <w:p>
      <w:r>
        <w:t>The audit distinguishes Text read, Invoice fields extracted and Extraction failed. A historical extracted event is displayed as Reader run finished (legacy event) and must not be interpreted as proof that fields or lines were extracted.</w:t>
      </w:r>
    </w:p>
    <w:p>
      <w:pPr>
        <w:pStyle w:val="Heading2"/>
      </w:pPr>
      <w:r>
        <w:t>Owner connection transfer</w:t>
      </w:r>
    </w:p>
    <w:p>
      <w:r>
        <w:t>For Claude, generate a setup token through the account's supported flow and paste it only into the protected connection form. The server encrypts it and supplies it to the restricted Claude CLI for the request; invoice tools are disabled and only the required extracted text is provided. Delete the connection to remove the saved token.</w:t>
      </w:r>
    </w:p>
    <w:p>
      <w:r>
        <w:t>For ChatGPT, sign in from the local application, select the connected account, and export the one-time credential bundle. A successful bundle construction removes the local encrypted credential, marks the local account disconnected and clears the active selection. Protect the downloaded file, import it promptly while signed in to the hosted owner workspace, then delete it from disk and downloads. If transfer fails after export, reconnect locally and repeat. Do not copy the bundle to chat, email, source control or shared storage.</w:t>
      </w:r>
    </w:p>
    <w:p>
      <w:pPr>
        <w:pStyle w:val="Heading2"/>
      </w:pPr>
      <w:r>
        <w:t>Responsibilities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Activity</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Reference mapping and scope</w:t>
            </w:r>
          </w:p>
        </w:tc>
        <w:tc>
          <w:tcPr>
            <w:tcW w:type="dxa" w:w="1728"/>
          </w:tcPr>
          <w:p>
            <w:r>
              <w:t>Data steward</w:t>
            </w:r>
          </w:p>
        </w:tc>
        <w:tc>
          <w:tcPr>
            <w:tcW w:type="dxa" w:w="1728"/>
          </w:tcPr>
          <w:p>
            <w:r>
              <w:t>Procurement/data owner</w:t>
            </w:r>
          </w:p>
        </w:tc>
        <w:tc>
          <w:tcPr>
            <w:tcW w:type="dxa" w:w="1728"/>
          </w:tcPr>
          <w:p>
            <w:r>
              <w:t>AP, receiving</w:t>
            </w:r>
          </w:p>
        </w:tc>
        <w:tc>
          <w:tcPr>
            <w:tcW w:type="dxa" w:w="1728"/>
          </w:tcPr>
          <w:p>
            <w:r>
              <w:t>Operator</w:t>
            </w:r>
          </w:p>
        </w:tc>
      </w:tr>
      <w:tr>
        <w:tc>
          <w:tcPr>
            <w:tcW w:type="dxa" w:w="1728"/>
          </w:tcPr>
          <w:p>
            <w:r>
              <w:t>Invoice evidence review</w:t>
            </w:r>
          </w:p>
        </w:tc>
        <w:tc>
          <w:tcPr>
            <w:tcW w:type="dxa" w:w="1728"/>
          </w:tcPr>
          <w:p>
            <w:r>
              <w:t>AP operator</w:t>
            </w:r>
          </w:p>
        </w:tc>
        <w:tc>
          <w:tcPr>
            <w:tcW w:type="dxa" w:w="1728"/>
          </w:tcPr>
          <w:p>
            <w:r>
              <w:t>AP owner</w:t>
            </w:r>
          </w:p>
        </w:tc>
        <w:tc>
          <w:tcPr>
            <w:tcW w:type="dxa" w:w="1728"/>
          </w:tcPr>
          <w:p>
            <w:r>
              <w:t>Supplier liaison</w:t>
            </w:r>
          </w:p>
        </w:tc>
        <w:tc>
          <w:tcPr>
            <w:tcW w:type="dxa" w:w="1728"/>
          </w:tcPr>
          <w:p>
            <w:r>
              <w:t>Finance</w:t>
            </w:r>
          </w:p>
        </w:tc>
      </w:tr>
      <w:tr>
        <w:tc>
          <w:tcPr>
            <w:tcW w:type="dxa" w:w="1728"/>
          </w:tcPr>
          <w:p>
            <w:r>
              <w:t>Receipt or quantity dispute</w:t>
            </w:r>
          </w:p>
        </w:tc>
        <w:tc>
          <w:tcPr>
            <w:tcW w:type="dxa" w:w="1728"/>
          </w:tcPr>
          <w:p>
            <w:r>
              <w:t>Receiving team</w:t>
            </w:r>
          </w:p>
        </w:tc>
        <w:tc>
          <w:tcPr>
            <w:tcW w:type="dxa" w:w="1728"/>
          </w:tcPr>
          <w:p>
            <w:r>
              <w:t>Receiving owner</w:t>
            </w:r>
          </w:p>
        </w:tc>
        <w:tc>
          <w:tcPr>
            <w:tcW w:type="dxa" w:w="1728"/>
          </w:tcPr>
          <w:p>
            <w:r>
              <w:t>AP, procurement</w:t>
            </w:r>
          </w:p>
        </w:tc>
        <w:tc>
          <w:tcPr>
            <w:tcW w:type="dxa" w:w="1728"/>
          </w:tcPr>
          <w:p>
            <w:r>
              <w:t>Supplier liaison</w:t>
            </w:r>
          </w:p>
        </w:tc>
      </w:tr>
      <w:tr>
        <w:tc>
          <w:tcPr>
            <w:tcW w:type="dxa" w:w="1728"/>
          </w:tcPr>
          <w:p>
            <w:r>
              <w:t>Tax rule definition</w:t>
            </w:r>
          </w:p>
        </w:tc>
        <w:tc>
          <w:tcPr>
            <w:tcW w:type="dxa" w:w="1728"/>
          </w:tcPr>
          <w:p>
            <w:r>
              <w:t>Finance/tax owner</w:t>
            </w:r>
          </w:p>
        </w:tc>
        <w:tc>
          <w:tcPr>
            <w:tcW w:type="dxa" w:w="1728"/>
          </w:tcPr>
          <w:p>
            <w:r>
              <w:t>Finance owner</w:t>
            </w:r>
          </w:p>
        </w:tc>
        <w:tc>
          <w:tcPr>
            <w:tcW w:type="dxa" w:w="1728"/>
          </w:tcPr>
          <w:p>
            <w:r>
              <w:t>AP</w:t>
            </w:r>
          </w:p>
        </w:tc>
        <w:tc>
          <w:tcPr>
            <w:tcW w:type="dxa" w:w="1728"/>
          </w:tcPr>
          <w:p>
            <w:r>
              <w:t>Data steward</w:t>
            </w:r>
          </w:p>
        </w:tc>
      </w:tr>
      <w:tr>
        <w:tc>
          <w:tcPr>
            <w:tcW w:type="dxa" w:w="1728"/>
          </w:tcPr>
          <w:p>
            <w:r>
              <w:t>Provider/model configuration</w:t>
            </w:r>
          </w:p>
        </w:tc>
        <w:tc>
          <w:tcPr>
            <w:tcW w:type="dxa" w:w="1728"/>
          </w:tcPr>
          <w:p>
            <w:r>
              <w:t>Application administrator</w:t>
            </w:r>
          </w:p>
        </w:tc>
        <w:tc>
          <w:tcPr>
            <w:tcW w:type="dxa" w:w="1728"/>
          </w:tcPr>
          <w:p>
            <w:r>
              <w:t>Product owner</w:t>
            </w:r>
          </w:p>
        </w:tc>
        <w:tc>
          <w:tcPr>
            <w:tcW w:type="dxa" w:w="1728"/>
          </w:tcPr>
          <w:p>
            <w:r>
              <w:t>Security/data owner</w:t>
            </w:r>
          </w:p>
        </w:tc>
        <w:tc>
          <w:tcPr>
            <w:tcW w:type="dxa" w:w="1728"/>
          </w:tcPr>
          <w:p>
            <w:r>
              <w:t>Operators</w:t>
            </w:r>
          </w:p>
        </w:tc>
      </w:tr>
      <w:tr>
        <w:tc>
          <w:tcPr>
            <w:tcW w:type="dxa" w:w="1728"/>
          </w:tcPr>
          <w:p>
            <w:r>
              <w:t>Release and backup recovery</w:t>
            </w:r>
          </w:p>
        </w:tc>
        <w:tc>
          <w:tcPr>
            <w:tcW w:type="dxa" w:w="1728"/>
          </w:tcPr>
          <w:p>
            <w:r>
              <w:t>Engineering/platform</w:t>
            </w:r>
          </w:p>
        </w:tc>
        <w:tc>
          <w:tcPr>
            <w:tcW w:type="dxa" w:w="1728"/>
          </w:tcPr>
          <w:p>
            <w:r>
              <w:t>Service owner</w:t>
            </w:r>
          </w:p>
        </w:tc>
        <w:tc>
          <w:tcPr>
            <w:tcW w:type="dxa" w:w="1728"/>
          </w:tcPr>
          <w:p>
            <w:r>
              <w:t>AP owner</w:t>
            </w:r>
          </w:p>
        </w:tc>
        <w:tc>
          <w:tcPr>
            <w:tcW w:type="dxa" w:w="1728"/>
          </w:tcPr>
          <w:p>
            <w:r>
              <w:t>Operators</w:t>
            </w:r>
          </w:p>
        </w:tc>
      </w:tr>
    </w:tbl>
    <w:p>
      <w:pPr>
        <w:pStyle w:val="Heading2"/>
      </w:pPr>
      <w:r>
        <w:t>Exceptions</w:t>
      </w:r>
    </w:p>
    <w:tbl>
      <w:tblPr>
        <w:tblStyle w:val="LightShading-Accent1"/>
        <w:tblW w:type="auto" w:w="0"/>
        <w:tblLook w:firstColumn="1" w:firstRow="1" w:lastColumn="0" w:lastRow="0" w:noHBand="0" w:noVBand="1" w:val="04A0"/>
      </w:tblPr>
      <w:tblGrid>
        <w:gridCol w:w="4320"/>
        <w:gridCol w:w="4320"/>
      </w:tblGrid>
      <w:tr>
        <w:tc>
          <w:tcPr>
            <w:tcW w:type="dxa" w:w="4320"/>
          </w:tcPr>
          <w:p>
            <w:r>
              <w:t>What you see</w:t>
            </w:r>
          </w:p>
        </w:tc>
        <w:tc>
          <w:tcPr>
            <w:tcW w:type="dxa" w:w="4320"/>
          </w:tcPr>
          <w:p>
            <w:r>
              <w:t>What to do</w:t>
            </w:r>
          </w:p>
        </w:tc>
      </w:tr>
      <w:tr>
        <w:tc>
          <w:tcPr>
            <w:tcW w:type="dxa" w:w="4320"/>
          </w:tcPr>
          <w:p>
            <w:r>
              <w:t>Unknown supplier/site or name conflict</w:t>
            </w:r>
          </w:p>
        </w:tc>
        <w:tc>
          <w:tcPr>
            <w:tcW w:type="dxa" w:w="4320"/>
          </w:tcPr>
          <w:p>
            <w:r>
              <w:t>Validate the source identity and approved aliases. Keep on hold until resolved.</w:t>
            </w:r>
          </w:p>
        </w:tc>
      </w:tr>
      <w:tr>
        <w:tc>
          <w:tcPr>
            <w:tcW w:type="dxa" w:w="4320"/>
          </w:tcPr>
          <w:p>
            <w:r>
              <w:t>Same supplier in a different market</w:t>
            </w:r>
          </w:p>
        </w:tc>
        <w:tc>
          <w:tcPr>
            <w:tcW w:type="dxa" w:w="4320"/>
          </w:tcPr>
          <w:p>
            <w:r>
              <w:t>Confirm the exact route and buying company; an existing domestic approval is insufficient.</w:t>
            </w:r>
          </w:p>
        </w:tc>
      </w:tr>
      <w:tr>
        <w:tc>
          <w:tcPr>
            <w:tcW w:type="dxa" w:w="4320"/>
          </w:tcPr>
          <w:p>
            <w:r>
              <w:t>Missing PO or multiple possible item matches</w:t>
            </w:r>
          </w:p>
        </w:tc>
        <w:tc>
          <w:tcPr>
            <w:tcW w:type="dxa" w:w="4320"/>
          </w:tcPr>
          <w:p>
            <w:r>
              <w:t>Supply source evidence or repair the reference mapping; never choose the first candidate by position.</w:t>
            </w:r>
          </w:p>
        </w:tc>
      </w:tr>
      <w:tr>
        <w:tc>
          <w:tcPr>
            <w:tcW w:type="dxa" w:w="4320"/>
          </w:tcPr>
          <w:p>
            <w:r>
              <w:t>Missing receipt or over-billing</w:t>
            </w:r>
          </w:p>
        </w:tc>
        <w:tc>
          <w:tcPr>
            <w:tcW w:type="dxa" w:w="4320"/>
          </w:tcPr>
          <w:p>
            <w:r>
              <w:t>Ask receiving to confirm accepted goods and returns. Ordered quantity is not proof of receipt.</w:t>
            </w:r>
          </w:p>
        </w:tc>
      </w:tr>
      <w:tr>
        <w:tc>
          <w:tcPr>
            <w:tcW w:type="dxa" w:w="4320"/>
          </w:tcPr>
          <w:p>
            <w:r>
              <w:t>Price, unit or tax mismatch</w:t>
            </w:r>
          </w:p>
        </w:tc>
        <w:tc>
          <w:tcPr>
            <w:tcW w:type="dxa" w:w="4320"/>
          </w:tcPr>
          <w:p>
            <w:r>
              <w:t>Resolve commercially or add an explicitly approved contract extension. Do not invent unit conversion or tax allocation.</w:t>
            </w:r>
          </w:p>
        </w:tc>
      </w:tr>
      <w:tr>
        <w:tc>
          <w:tcPr>
            <w:tcW w:type="dxa" w:w="4320"/>
          </w:tcPr>
          <w:p>
            <w:r>
              <w:t>Duplicate invoice</w:t>
            </w:r>
          </w:p>
        </w:tc>
        <w:tc>
          <w:tcPr>
            <w:tcW w:type="dxa" w:w="4320"/>
          </w:tcPr>
          <w:p>
            <w:r>
              <w:t>Review existing export/history; repeated clicks return the prior export.</w:t>
            </w:r>
          </w:p>
        </w:tc>
      </w:tr>
      <w:tr>
        <w:tc>
          <w:tcPr>
            <w:tcW w:type="dxa" w:w="4320"/>
          </w:tcPr>
          <w:p>
            <w:r>
              <w:t>Printed buyer name differs from internal company code</w:t>
            </w:r>
          </w:p>
        </w:tc>
        <w:tc>
          <w:tcPr>
            <w:tcW w:type="dxa" w:w="4320"/>
          </w:tcPr>
          <w:p>
            <w:r>
              <w:t>Preserve the printed name as evidence and select the internal code only from approved reference data. Do not copy the name into the code field.</w:t>
            </w:r>
          </w:p>
        </w:tc>
      </w:tr>
      <w:tr>
        <w:tc>
          <w:tcPr>
            <w:tcW w:type="dxa" w:w="4320"/>
          </w:tcPr>
          <w:p>
            <w:r>
              <w:t>Reader fails</w:t>
            </w:r>
          </w:p>
        </w:tc>
        <w:tc>
          <w:tcPr>
            <w:tcW w:type="dxa" w:w="4320"/>
          </w:tcPr>
          <w:p>
            <w:r>
              <w:t>Inspect its field/item/text counts and method. Paddle and Docling are selectable paths, not universal guarantees. Change reader or enable permitted AI, then confirm a new plan.</w:t>
            </w:r>
          </w:p>
        </w:tc>
      </w:tr>
      <w:tr>
        <w:tc>
          <w:tcPr>
            <w:tcW w:type="dxa" w:w="4320"/>
          </w:tcPr>
          <w:p>
            <w:r>
              <w:t>AI connection fails or limits are reached</w:t>
            </w:r>
          </w:p>
        </w:tc>
        <w:tc>
          <w:tcPr>
            <w:tcW w:type="dxa" w:w="4320"/>
          </w:tcPr>
          <w:p>
            <w:r>
              <w:t>Reconnect/select a model, retry later or enter verified values manually. The invoice stays on hold.</w:t>
            </w:r>
          </w:p>
        </w:tc>
      </w:tr>
      <w:tr>
        <w:tc>
          <w:tcPr>
            <w:tcW w:type="dxa" w:w="4320"/>
          </w:tcPr>
          <w:p>
            <w:r>
              <w:t>OCR is slow but an immediate workbook is required</w:t>
            </w:r>
          </w:p>
        </w:tc>
        <w:tc>
          <w:tcPr>
            <w:tcW w:type="dxa" w:w="4320"/>
          </w:tcPr>
          <w:p>
            <w:r>
              <w:t>Use the all-field manual editor and download only the clearly marked DRAFT_UNVALIDATED file. It does not consume receipts or make the job ready.</w:t>
            </w:r>
          </w:p>
        </w:tc>
      </w:tr>
      <w:tr>
        <w:tc>
          <w:tcPr>
            <w:tcW w:type="dxa" w:w="4320"/>
          </w:tcPr>
          <w:p>
            <w:r>
              <w:t>Lookup shows duplicate or conflicting products/POs</w:t>
            </w:r>
          </w:p>
        </w:tc>
        <w:tc>
          <w:tcPr>
            <w:tcW w:type="dxa" w:w="4320"/>
          </w:tcPr>
          <w:p>
            <w:r>
              <w:t>Compare source context, matching basis, price/quantity/unit clues and identifiers. Explicitly confirm only supported evidence; fuzzy rank is a suggestion, not approval. Keep the invoice unapproved until canonical reference owners resolve the conflict.</w:t>
            </w:r>
          </w:p>
        </w:tc>
      </w:tr>
      <w:tr>
        <w:tc>
          <w:tcPr>
            <w:tcW w:type="dxa" w:w="4320"/>
          </w:tcPr>
          <w:p>
            <w:r>
              <w:t>ChatGPT transfer download is lost</w:t>
            </w:r>
          </w:p>
        </w:tc>
        <w:tc>
          <w:tcPr>
            <w:tcW w:type="dxa" w:w="4320"/>
          </w:tcPr>
          <w:p>
            <w:r>
              <w:t>The local credential was detached after bundle construction. Reconnect locally and create a new transfer; never try to reconstruct token values.</w:t>
            </w:r>
          </w:p>
        </w:tc>
      </w:tr>
      <w:tr>
        <w:tc>
          <w:tcPr>
            <w:tcW w:type="dxa" w:w="4320"/>
          </w:tcPr>
          <w:p>
            <w:r>
              <w:t>Reference/rule changes during extraction</w:t>
            </w:r>
          </w:p>
        </w:tc>
        <w:tc>
          <w:tcPr>
            <w:tcW w:type="dxa" w:w="4320"/>
          </w:tcPr>
          <w:p>
            <w:r>
              <w:t>Review the new plan and retry; the old confirmation does not authorize new rules.</w:t>
            </w:r>
          </w:p>
        </w:tc>
      </w:tr>
      <w:tr>
        <w:tc>
          <w:tcPr>
            <w:tcW w:type="dxa" w:w="4320"/>
          </w:tcPr>
          <w:p>
            <w:r>
              <w:t>Restart during reading</w:t>
            </w:r>
          </w:p>
        </w:tc>
        <w:tc>
          <w:tcPr>
            <w:tcW w:type="dxa" w:w="4320"/>
          </w:tcPr>
          <w:p>
            <w:r>
              <w:t>Job shows an interrupted status. Review the plan and retry; existing exports remain intact.</w:t>
            </w:r>
          </w:p>
        </w:tc>
      </w:tr>
      <w:tr>
        <w:tc>
          <w:tcPr>
            <w:tcW w:type="dxa" w:w="4320"/>
          </w:tcPr>
          <w:p>
            <w:r>
              <w:t>Credit, multiple POs or mixed taxes</w:t>
            </w:r>
          </w:p>
        </w:tc>
        <w:tc>
          <w:tcPr>
            <w:tcW w:type="dxa" w:w="4320"/>
          </w:tcPr>
          <w:p>
            <w:r>
              <w:t>Keep for the agreed exception process until the product has an approved contract for that case.</w:t>
            </w:r>
          </w:p>
        </w:tc>
      </w:tr>
    </w:tbl>
    <w:p>
      <w:pPr>
        <w:pStyle w:val="Heading2"/>
      </w:pPr>
      <w:r>
        <w:t>Pilot measures</w:t>
      </w:r>
    </w:p>
    <w:p>
      <w:r>
        <w:t>Targets below are proposed acceptance gates, not measured results.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Proposed gate</w:t>
            </w:r>
          </w:p>
        </w:tc>
        <w:tc>
          <w:tcPr>
            <w:tcW w:type="dxa" w:w="2880"/>
          </w:tcPr>
          <w:p>
            <w:r>
              <w:t>Method</w:t>
            </w:r>
          </w:p>
        </w:tc>
      </w:tr>
      <w:tr>
        <w:tc>
          <w:tcPr>
            <w:tcW w:type="dxa" w:w="2880"/>
          </w:tcPr>
          <w:p>
            <w:r>
              <w:t>Export validity</w:t>
            </w:r>
          </w:p>
        </w:tc>
        <w:tc>
          <w:tcPr>
            <w:tcW w:type="dxa" w:w="2880"/>
          </w:tcPr>
          <w:p>
            <w:r>
              <w:t>Zero known false-ready approved invoices in the adjudicated pilot</w:t>
            </w:r>
          </w:p>
        </w:tc>
        <w:tc>
          <w:tcPr>
            <w:tcW w:type="dxa" w:w="2880"/>
          </w:tcPr>
          <w:p>
            <w:r>
              <w:t>Independently compare every approved export field and allocation; report manual drafts separately</w:t>
            </w:r>
          </w:p>
        </w:tc>
      </w:tr>
      <w:tr>
        <w:tc>
          <w:tcPr>
            <w:tcW w:type="dxa" w:w="2880"/>
          </w:tcPr>
          <w:p>
            <w:r>
              <w:t>Target compatibility</w:t>
            </w:r>
          </w:p>
        </w:tc>
        <w:tc>
          <w:tcPr>
            <w:tcW w:type="dxa" w:w="2880"/>
          </w:tcPr>
          <w:p>
            <w:r>
              <w:t>All agreed downstream import tests pass</w:t>
            </w:r>
          </w:p>
        </w:tc>
        <w:tc>
          <w:tcPr>
            <w:tcW w:type="dxa" w:w="2880"/>
          </w:tcPr>
          <w:p>
            <w:r>
              <w:t>Load an accepted synthetic and controlled business test batch</w:t>
            </w:r>
          </w:p>
        </w:tc>
      </w:tr>
      <w:tr>
        <w:tc>
          <w:tcPr>
            <w:tcW w:type="dxa" w:w="2880"/>
          </w:tcPr>
          <w:p>
            <w:r>
              <w:t>Manual effort</w:t>
            </w:r>
          </w:p>
        </w:tc>
        <w:tc>
          <w:tcPr>
            <w:tcW w:type="dxa" w:w="2880"/>
          </w:tcPr>
          <w:p>
            <w:r>
              <w:t>Establish baseline, then demonstrate reduction</w:t>
            </w:r>
          </w:p>
        </w:tc>
        <w:tc>
          <w:tcPr>
            <w:tcW w:type="dxa" w:w="2880"/>
          </w:tcPr>
          <w:p>
            <w:r>
              <w:t>Record minutes per invoice before and after, including exceptions</w:t>
            </w:r>
          </w:p>
        </w:tc>
      </w:tr>
      <w:tr>
        <w:tc>
          <w:tcPr>
            <w:tcW w:type="dxa" w:w="2880"/>
          </w:tcPr>
          <w:p>
            <w:r>
              <w:t>Header extraction</w:t>
            </w:r>
          </w:p>
        </w:tc>
        <w:tc>
          <w:tcPr>
            <w:tcW w:type="dxa" w:w="2880"/>
          </w:tcPr>
          <w:p>
            <w:r>
              <w:t>Target ≥90% exact accuracy; not yet proven</w:t>
            </w:r>
          </w:p>
        </w:tc>
        <w:tc>
          <w:tcPr>
            <w:tcW w:type="dxa" w:w="2880"/>
          </w:tcPr>
          <w:p>
            <w:r>
              <w:t>All frozen gold header cells, including expected nulls; errors/timeouts score zero</w:t>
            </w:r>
          </w:p>
        </w:tc>
      </w:tr>
      <w:tr>
        <w:tc>
          <w:tcPr>
            <w:tcW w:type="dxa" w:w="2880"/>
          </w:tcPr>
          <w:p>
            <w:r>
              <w:t>Line extraction</w:t>
            </w:r>
          </w:p>
        </w:tc>
        <w:tc>
          <w:tcPr>
            <w:tcW w:type="dxa" w:w="2880"/>
          </w:tcPr>
          <w:p>
            <w:r>
              <w:t>Target ≥90% exact line-cell accuracy; not yet proven</w:t>
            </w:r>
          </w:p>
        </w:tc>
        <w:tc>
          <w:tcPr>
            <w:tcW w:type="dxa" w:w="2880"/>
          </w:tcPr>
          <w:p>
            <w:r>
              <w:t>Align to adjudicated source order; report line recall plus exact item/description/qty/unit/price cells</w:t>
            </w:r>
          </w:p>
        </w:tc>
      </w:tr>
      <w:tr>
        <w:tc>
          <w:tcPr>
            <w:tcW w:type="dxa" w:w="2880"/>
          </w:tcPr>
          <w:p>
            <w:r>
              <w:t>Zero-correction invoices</w:t>
            </w:r>
          </w:p>
        </w:tc>
        <w:tc>
          <w:tcPr>
            <w:tcW w:type="dxa" w:w="2880"/>
          </w:tcPr>
          <w:p>
            <w:r>
              <w:t>Target ≥90%; not yet proven</w:t>
            </w:r>
          </w:p>
        </w:tc>
        <w:tc>
          <w:tcPr>
            <w:tcW w:type="dxa" w:w="2880"/>
          </w:tcPr>
          <w:p>
            <w:r>
              <w:t>Invoices needing no extraction correction divided by all attempts, including failures/timeouts</w:t>
            </w:r>
          </w:p>
        </w:tc>
      </w:tr>
      <w:tr>
        <w:tc>
          <w:tcPr>
            <w:tcW w:type="dxa" w:w="2880"/>
          </w:tcPr>
          <w:p>
            <w:r>
              <w:t>AI dependence</w:t>
            </w:r>
          </w:p>
        </w:tc>
        <w:tc>
          <w:tcPr>
            <w:tcW w:type="dxa" w:w="2880"/>
          </w:tcPr>
          <w:p>
            <w:r>
              <w:t>Visible and within agreed budget</w:t>
            </w:r>
          </w:p>
        </w:tc>
        <w:tc>
          <w:tcPr>
            <w:tcW w:type="dxa" w:w="2880"/>
          </w:tcPr>
          <w:p>
            <w:r>
              <w:t>Fallback rate, tokens, latency and failure rates</w:t>
            </w:r>
          </w:p>
        </w:tc>
      </w:tr>
      <w:tr>
        <w:tc>
          <w:tcPr>
            <w:tcW w:type="dxa" w:w="2880"/>
          </w:tcPr>
          <w:p>
            <w:r>
              <w:t>Traceability</w:t>
            </w:r>
          </w:p>
        </w:tc>
        <w:tc>
          <w:tcPr>
            <w:tcW w:type="dxa" w:w="2880"/>
          </w:tcPr>
          <w:p>
            <w:r>
              <w:t>Every export reconstructable</w:t>
            </w:r>
          </w:p>
        </w:tc>
        <w:tc>
          <w:tcPr>
            <w:tcW w:type="dxa" w:w="2880"/>
          </w:tcPr>
          <w:p>
            <w:r>
              <w:t>Source hash, reference version, edits, policy and allocations</w:t>
            </w:r>
          </w:p>
        </w:tc>
      </w:tr>
    </w:tbl>
    <w:p>
      <w:r>
        <w:t>Freeze and adjudicate the gold set before tuning. Stratify by supplier, native/scan, language, document quality and page length, and publish subgroup results so an aggregate cannot hide a weak cohort. The three-scan Paddle result has a conservative 90.91% floor with descriptions treated unproven. On a separate challenging two-page scan, the bounded adaptive path improved the whole local result from 90/99 (90.9%) to 96/99 (97.0%) while retaining 23/23 rows and 6/7 headers; it took about 168 seconds across both passes and peaked at 2.31 GiB. Revision 00007 retained 90/99 in the hosted run because its 134.082-second baseline exceeded that revision's 100-second eligibility gate. Revision 00008 is live with Paddle's 360-second limit and 150-second baseline eligibility ceiling; its hosted Paddle run completed the adaptive path in 242.98 seconds and returned 23/23 rows and 96/99 facts (97.0%). Docling remains at 240 seconds. The alternate runs only for eligible short PDFs with missing baseline quantity/price, keeps the baseline on early failure or any row/header regression, and did not trigger on the three earlier scans. Heavy local OCR work is serialized while native/AI work can continue. A separate hosted managed-AI check returned 23 rows and 97/99 facts in 16.18 seconds, preserved the printed buyer name and kept the internal buyer code null. Docling recovered bounded native tables and 6/6 rows across three earlier scans after adapter fixes, but field presence is not accuracy: it produced only 10/23 rows with poor source-position matches on the challenging two-page scan and timed out on ten pages. Native PDF and earlier managed-AI checks were exact on the source-tested fields of one layout family. These results do not prove the expected 95% across the pilot population.</w:t>
      </w:r>
    </w:p>
    <w:p>
      <w:r>
        <w:br w:type="page"/>
      </w:r>
    </w:p>
    <w:p>
      <w:pPr>
        <w:pStyle w:val="Heading1"/>
      </w:pPr>
      <w:r>
        <w:t>Verification record</w:t>
      </w:r>
    </w:p>
    <w:p>
      <w:r>
        <w:t>This is an implementation test record, not a measured claim about accuracy across supplier invoices.</w:t>
      </w:r>
    </w:p>
    <w:p>
      <w:pPr>
        <w:pStyle w:val="Heading2"/>
      </w:pPr>
      <w:r>
        <w:t>Automated and local verification</w:t>
      </w:r>
    </w:p>
    <w:p>
      <w:r>
        <w:t>The repository suite currently passes 214 tests with no skips, including the real PostgreSQL contract. Ruff is clean. Both Chromium workflows and all four GitHub checks pass, and all three packaged reader warm-ups recovered two synthetic lines. Final revision inv-studio-api-00009-vxw has 100% traffic and uses the tested core image plus the cancel/footer fixes. The owner-only allowlist, email-verified owner-account flag, anonymous/direct-service denial and temporary-identity deletion checks passed. The private evidence catalog completed atomic cutover with 412,139 live rows, exact source-kind counts and a sanitized archive receipt beginning d06678; authenticated API and UI lookup QA passed.</w:t>
      </w:r>
    </w:p>
    <w:p>
      <w:pPr>
        <w:pStyle w:val="ListBullet"/>
      </w:pPr>
      <w:r>
        <w:t>Backend tests cover exact identity and scope, SKU/GTIN conflicts, receipt balances, returns, repeated lines, duplicate invoices, currency rounding, review revisions, atomic batch export, malformed reference inputs and secret encryption.</w:t>
      </w:r>
    </w:p>
    <w:p>
      <w:pPr>
        <w:pStyle w:val="ListBullet"/>
      </w:pPr>
      <w:r>
        <w:t>Preflight regressions prove invalid uploads do not consume confirmation, missing confirmation blocks processing, changed rules invalidate a plan, and a mid-extraction rule change cannot enrich or approve the result under unconfirmed rules.</w:t>
      </w:r>
    </w:p>
    <w:p>
      <w:pPr>
        <w:pStyle w:val="ListBullet"/>
      </w:pPr>
      <w:r>
        <w:t>Mocked provider tests cover managed Vertex AI, OpenAI, Anthropic, local Claude and ChatGPT request/response contracts, structured output and failure paths. Vertex uses Application Default Credentials, a fixed Google endpoint, bounded inline document/text input, a strict response schema and safe errors.</w:t>
      </w:r>
    </w:p>
    <w:p>
      <w:pPr>
        <w:pStyle w:val="ListBullet"/>
      </w:pPr>
      <w:r>
        <w:t>Cloud identity tests require a verified, allowlisted email and check token revocation. Anonymous access to invoices, references and downloads is rejected. PostgreSQL/GCS contract tests cover transaction locking, rollback, ciphertext credentials, raw export SQL and blob recovery; the real-database test runs when INV_STUDIO_TEST_DATABASE_URL is supplied.</w:t>
      </w:r>
    </w:p>
    <w:p>
      <w:pPr>
        <w:pStyle w:val="ListBullet"/>
      </w:pPr>
      <w:r>
        <w:t>Real Chromium tests cover desktop/mobile layout, no processing before confirmation, cancel behavior, multi-file upload, review/export holds, visible unsaved edits, combined review-only download without job/ledger mutation, approved two-invoice batch download, exact 13/3/6 shapes, transaction joins and no provider-key browser storage.</w:t>
      </w:r>
    </w:p>
    <w:p>
      <w:pPr>
        <w:pStyle w:val="ListBullet"/>
      </w:pPr>
      <w:r>
        <w:t>Printed line net and tax values are preserved separately from printed unit price. Regressions prove review saves retain them and neither extraction nor quality checks reprice a line to force arithmetic.</w:t>
      </w:r>
    </w:p>
    <w:p>
      <w:pPr>
        <w:pStyle w:val="ListBullet"/>
      </w:pPr>
      <w:r>
        <w:t>Printed buyer name is preserved separately from the internal buyer/company code. Regressions do not allow a source name to become an internal code without approved reference evidence.</w:t>
      </w:r>
    </w:p>
    <w:p>
      <w:pPr>
        <w:pStyle w:val="ListBullet"/>
      </w:pPr>
      <w:r>
        <w:t>Native-layout regressions require a strong invoice heading, reject purchase orders, extract explicit labeled facts and spatial table rows, preserve leading zeros, leave conflicts/ambiguous dates unset and never infer internal business codes, currency or header totals from line arithmetic.</w:t>
      </w:r>
    </w:p>
    <w:p>
      <w:pPr>
        <w:pStyle w:val="ListBullet"/>
      </w:pPr>
      <w:r>
        <w:t>Extraction outcome regressions record text_read, fields_extracted or extraction_failed; the legacy extracted event is displayed only as Reader run finished (legacy event). Trace output distinguishes a failed engine from text-only output with zero structured items. Field completeness is labelled as read coverage, not accuracy. When invoice2data receives a scanned image through Paddle OCR, the trace names Paddle as the input reader.</w:t>
      </w:r>
    </w:p>
    <w:p>
      <w:pPr>
        <w:pStyle w:val="ListBullet"/>
      </w:pPr>
      <w:r>
        <w:t>Manual-draft regressions must prove exact 13/3/6 sheets, leading-zero text, no formulas, explicit acknowledgement, DRAFT_UNVALIDATED disclosure, download during processing, and no change to job/revision/invoice/reference approval/export ledger/receipt allocation.</w:t>
      </w:r>
    </w:p>
    <w:p>
      <w:pPr>
        <w:pStyle w:val="ListBullet"/>
      </w:pPr>
      <w:r>
        <w:t>Lookup regressions exercise the 114,940-item / 297,199-PO/GRN source profile (412,139 rows), identifier and fuzzy product-name search, price/quantity/unit clues, pagination/filtering, conflict display and explicit human confirmation while proving that lookup records are not approved matching data. The guarded hosted import is not available until post-import verification passes.</w:t>
      </w:r>
    </w:p>
    <w:p>
      <w:pPr>
        <w:pStyle w:val="ListBullet"/>
      </w:pPr>
      <w:r>
        <w:t>Connection regressions distinguish an encrypted saved key from verified access, preserve a connected user's selected model, and offer an available connected model only when no connected model is selected. They also cover Claude setup-token encryption/removal and cloud authentication, plus the ChatGPT move boundary: local export only, credential detachment after successful bundle construction, hosted import only, and no secret returned through state or errors.</w:t>
      </w:r>
    </w:p>
    <w:p>
      <w:pPr>
        <w:pStyle w:val="ListBullet"/>
      </w:pPr>
      <w:r>
        <w:t>Deletion regressions require explicit confirmation and current revisions, reject active jobs and partial exported batches, remove live jobs, source objects, detailed audit evidence and workbook copies, and retain only a minimal deletion audit plus the invoice-key/PO-line allocation tombstone required for duplicate and receipt controls. Provider backups, logs, versions and soft deletion remain outside the live-store operation.</w:t>
      </w:r>
    </w:p>
    <w:p>
      <w:pPr>
        <w:pStyle w:val="Heading2"/>
      </w:pPr>
      <w:r>
        <w:t>Commands</w:t>
      </w:r>
    </w:p>
    <w:p>
      <w:r>
        <w:t>Use an isolated data directory for browser tests: they deliberately import synthetic references and create invoices/exports. The Docker build warms all local readers on synthetic documents and fails if the expected invoice lines are not recovered.</w:t>
      </w:r>
    </w:p>
    <w:p>
      <w:pPr>
        <w:pStyle w:val="Heading2"/>
      </w:pPr>
      <w:r>
        <w:t>Observed extraction checks</w:t>
      </w:r>
    </w:p>
    <w:p>
      <w:r>
        <w:t>No invoice values are published. The figures below are aggregate private engineering evidence, with their denominators and limits kept visible.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Path</w:t>
            </w:r>
          </w:p>
        </w:tc>
        <w:tc>
          <w:tcPr>
            <w:tcW w:type="dxa" w:w="2880"/>
          </w:tcPr>
          <w:p>
            <w:r>
              <w:t>Observed private result</w:t>
            </w:r>
          </w:p>
        </w:tc>
        <w:tc>
          <w:tcPr>
            <w:tcW w:type="dxa" w:w="2880"/>
          </w:tcPr>
          <w:p>
            <w:r>
              <w:t>Practical conclusion</w:t>
            </w:r>
          </w:p>
        </w:tc>
      </w:tr>
      <w:tr>
        <w:tc>
          <w:tcPr>
            <w:tcW w:type="dxa" w:w="2880"/>
          </w:tcPr>
          <w:p>
            <w:r>
              <w:t>Native PDF tables, AI off</w:t>
            </w:r>
          </w:p>
        </w:tc>
        <w:tc>
          <w:tcPr>
            <w:tcW w:type="dxa" w:w="2880"/>
          </w:tcPr>
          <w:p>
            <w:r>
              <w:t>15/15 PDFs, 570/570 rows and 3,990/3,990 source-tested line fields exact; 24.6 s total on the first batch and 12.9 s total warm</w:t>
            </w:r>
          </w:p>
        </w:tc>
        <w:tc>
          <w:tcPr>
            <w:tcW w:type="dxa" w:w="2880"/>
          </w:tcPr>
          <w:p>
            <w:r>
              <w:t>Strong evidence for this one native layout family through the invoice2data/native adapter; not a supplier-wide result</w:t>
            </w:r>
          </w:p>
        </w:tc>
      </w:tr>
      <w:tr>
        <w:tc>
          <w:tcPr>
            <w:tcW w:type="dxa" w:w="2880"/>
          </w:tcPr>
          <w:p>
            <w:r>
              <w:t>PaddleOCR + layout, AI off</w:t>
            </w:r>
          </w:p>
        </w:tc>
        <w:tc>
          <w:tcPr>
            <w:tcW w:type="dxa" w:w="2880"/>
          </w:tcPr>
          <w:p>
            <w:r>
              <w:t>6/6 lines; 60/60 adjudicated header, identifier and numeric facts exact across three scans. On a separate challenging two-page scan, an 80.755 s local baseline recovered 23/23 rows and 90/99 facts (90.9%). Its bounded 86.542 s higher-resolution alternate met every selection gate and improved the whole result to 96/99 (97.0%): 6/7 headers, 21/23 SKUs and 23/23 quantities, prices and printed net amounts; the absent PO stayed null. Total local reader time was about 168 s and peak cgroup memory was 2.31 GiB.</w:t>
            </w:r>
          </w:p>
        </w:tc>
        <w:tc>
          <w:tcPr>
            <w:tcW w:type="dxa" w:w="2880"/>
          </w:tcPr>
          <w:p>
            <w:r>
              <w:t>Descriptions remain unproven because raw OCR can fuse/space words. Counting all six descriptions in the adjudicated three-scan set as incorrect gives a conservative 60/66 = 90.91% floor. Revision 00008 makes the alternate eligible only for PDFs of at most two pages when baseline quantity/price is missing and baseline time is at most 150 seconds. It gives Paddle up to 360 seconds total and passes the exact remaining budget to the alternate worker; Docling stays at 240 seconds. The alternate replaces the whole result only when row count and invoice number/date/PO/currency/net/tax do not regress, missing quantity/price improves and printed net reconciles. The three earlier scans did not trigger it and retained their baselines. Heavy local OCR is serialized; an early alternate failure keeps the baseline.</w:t>
            </w:r>
          </w:p>
        </w:tc>
      </w:tr>
      <w:tr>
        <w:tc>
          <w:tcPr>
            <w:tcW w:type="dxa" w:w="2880"/>
          </w:tcPr>
          <w:p>
            <w:r>
              <w:t>Docling, AI off</w:t>
            </w:r>
          </w:p>
        </w:tc>
        <w:tc>
          <w:tcPr>
            <w:tcW w:type="dxa" w:w="2880"/>
          </w:tcPr>
          <w:p>
            <w:r>
              <w:t>5/5 lines in 34 s; 1/1 line on a one-page document; 17/17 lines on a two-page document in 92 s; three earlier scans now yield 6/6 rows and 18/18 header fields present after adapter fixes</w:t>
            </w:r>
          </w:p>
        </w:tc>
        <w:tc>
          <w:tcPr>
            <w:tcW w:type="dxa" w:w="2880"/>
          </w:tcPr>
          <w:p>
            <w:r>
              <w:t>Native-table conversion and those bounded scan structures work; field presence is not source-gold accuracy</w:t>
            </w:r>
          </w:p>
        </w:tc>
      </w:tr>
      <w:tr>
        <w:tc>
          <w:tcPr>
            <w:tcW w:type="dxa" w:w="2880"/>
          </w:tcPr>
          <w:p>
            <w:r>
              <w:t>Docling failure boundary</w:t>
            </w:r>
          </w:p>
        </w:tc>
        <w:tc>
          <w:tcPr>
            <w:tcW w:type="dxa" w:w="2880"/>
          </w:tcPr>
          <w:p>
            <w:r>
              <w:t>Ten-page document exceeded 528 s and was terminated. Exposing RapidOCR's measured cells improved one challenging two-page scan from 26 assembled blocks to 278 OCR cells and 10/23 parsed lines in 126.37 s; source-position comparison found 0 exact SKUs, 1 exact quantity and 2 exact prices</w:t>
            </w:r>
          </w:p>
        </w:tc>
        <w:tc>
          <w:tcPr>
            <w:tcW w:type="dxa" w:w="2880"/>
          </w:tcPr>
          <w:p>
            <w:r>
              <w:t>The expected 95% and broad scan support are unresolved; 10/23 is only line coverage and the field comparison is poor, so Docling remains a selectable, review-required path</w:t>
            </w:r>
          </w:p>
        </w:tc>
      </w:tr>
      <w:tr>
        <w:tc>
          <w:tcPr>
            <w:tcW w:type="dxa" w:w="2880"/>
          </w:tcPr>
          <w:p>
            <w:r>
              <w:t>Managed Vertex</w:t>
            </w:r>
          </w:p>
        </w:tc>
        <w:tc>
          <w:tcPr>
            <w:tcW w:type="dxa" w:w="2880"/>
          </w:tcPr>
          <w:p>
            <w:r>
              <w:t>15 documents, 570 lines, all source-tested fields exact after retry, from one layout family</w:t>
            </w:r>
          </w:p>
        </w:tc>
        <w:tc>
          <w:tcPr>
            <w:tcW w:type="dxa" w:w="2880"/>
          </w:tcPr>
          <w:p>
            <w:r>
              <w:t>Useful within-sample evidence only; it does not establish held-out supplier, scan, language or page-length accuracy</w:t>
            </w:r>
          </w:p>
        </w:tc>
      </w:tr>
    </w:tbl>
    <w:p>
      <w:r>
        <w:t>Revision 00007 read the challenging two-page scan baseline in 134.082 seconds and correctly retained its 90/99 result because that revision used the 100-second eligibility gate and 240-second Paddle budget. Revision 00008 is live with the Paddle-only budget and eligibility changes described above. Its hosted Paddle run completed the adaptive path in 242.98 seconds and returned 23/23 rows and 96/99 checked facts (97.0%). Separately, the hosted native path recovered 193/193 rows, 6/6 checked headers and 1,351/1,351 checked line facts in 10.21 seconds. A hosted managed-AI check on the challenging scan returned 23 rows and 97/99 checked facts in 16.18 seconds, preserved the printed buyer name and kept the internal buyer code null. These are distinct path- and layout-specific checks; do not combine them into a broad deployment accuracy claim.</w:t>
      </w:r>
    </w:p>
    <w:p>
      <w:r>
        <w:t>The 15 successful managed Vertex calls used 36,450 input tokens and 91,892 output tokens including reasoning. At Google's current global introductory Gemini 3.7 Flash rate through 31 December 2026—USD 0.75 per million input tokens and USD 3.75 per million output tokens—the calculated usage is USD 0.3719325, or USD 24.7955 per 1,000 documents at the same token mix. This is not an actual bill and excludes retries, Cloud Run, Cloud SQL, storage and network charges. Pricing source: Google Agent Platform generative AI pricing.</w:t>
      </w:r>
    </w:p>
    <w:p>
      <w:pPr>
        <w:pStyle w:val="Heading2"/>
      </w:pPr>
      <w:r>
        <w:t>Frozen held-out 90% evaluation plan</w:t>
      </w:r>
    </w:p>
    <w:p>
      <w:r>
        <w:t>The 90% figures below are proposed acceptance targets, not measured results.</w:t>
      </w:r>
    </w:p>
    <w:p>
      <w:r>
        <w:t>1. Select a held-out set stratified by supplier, native text versus scan, language, page-count band and document quality. Freeze file hashes and the provider/model/revision before any tuning.</w:t>
      </w:r>
    </w:p>
    <w:p>
      <w:r>
        <w:t>2. One reviewer transcribes every expected header and line cell; a second checks the transcription against the source; an adjudicator resolves differences. Represent expected missing values explicitly as null.</w:t>
      </w:r>
    </w:p>
    <w:p>
      <w:r>
        <w:t>3. Run every invoice once under the controlled plan. Keep errors, timeouts, rejected schemas and empty output in the denominator; score their affected cells and zero-correction outcome as incorrect.</w:t>
      </w:r>
    </w:p>
    <w:p>
      <w:r>
        <w:t>4. Report header-field exact accuracy over every gold header cell, including expected nulls. Apply only contract-defined normalization for dates, Decimals and whitespace.</w:t>
      </w:r>
    </w:p>
    <w:p>
      <w:r>
        <w:t>5. Align output lines with gold lines by adjudicated source order/evidence. Report line recall and line-cell exact accuracy over item identifiers, description, quantity, unit, price and evidence page. Extra, missing and misaligned lines are errors.</w:t>
      </w:r>
    </w:p>
    <w:p>
      <w:r>
        <w:t>6. Report zero-correction invoice rate: invoices requiring no extracted header or line edit divided by all attempted invoices.</w:t>
      </w:r>
    </w:p>
    <w:p>
      <w:r>
        <w:t>7. Separately report schema validity, completeness, arithmetic reconciliation, validation holds, latency, tokens, cost and correction reason. None of those substitutes for accuracy.</w:t>
      </w:r>
    </w:p>
    <w:p>
      <w:r>
        <w:t>Proposed gate: at least 90% header-field exact accuracy, 90% line-cell exact accuracy and 90% zero-correction invoices, with zero false-ready approved invoices. Report confidence intervals and each agreed supplier/language/scan stratum; the business owner must set a minimum per stratum so a large easy cohort cannot hide a weak one. A controlled reviewer signs the comparison, and AP/data owners decide whether failures require a template/rule change or continued manual handling.</w:t>
      </w:r>
    </w:p>
    <w:p>
      <w:pPr>
        <w:pStyle w:val="Heading2"/>
      </w:pPr>
      <w:r>
        <w:t>Business and deployment acceptance still required</w:t>
      </w:r>
    </w:p>
    <w:p>
      <w:r>
        <w:t>Approve supplier/site mappings, receipt-acceptance meaning, prior-invoicing baseline and other unresolved business fields before real invoices can be called ready. Complete the frozen evaluation above and verify the generated workbook in the actual receiving process.</w:t>
      </w:r>
    </w:p>
    <w:p>
      <w:pPr>
        <w:pStyle w:val="Heading2"/>
      </w:pPr>
      <w:r>
        <w:t>Hosted verification boundary</w:t>
      </w:r>
    </w:p>
    <w:p>
      <w:r>
        <w:t>The Firebase/GCP endpoint was exercised with a temporary verified, allowlisted test identity:</w:t>
      </w:r>
    </w:p>
    <w:p>
      <w:pPr>
        <w:pStyle w:val="ListBullet"/>
      </w:pPr>
      <w:r>
        <w:t>Anonymous protected API requests are rejected; authenticated session identity is checked by the server.</w:t>
      </w:r>
    </w:p>
    <w:p>
      <w:pPr>
        <w:pStyle w:val="ListBullet"/>
      </w:pPr>
      <w:r>
        <w:t>Actual invoice2data PDF, PaddleOCR scan and Docling PDF jobs each recovered both synthetic invoice lines.</w:t>
      </w:r>
    </w:p>
    <w:p>
      <w:pPr>
        <w:pStyle w:val="ListBullet"/>
      </w:pPr>
      <w:r>
        <w:t>Two real processed invoices produced one review workbook with exactly Header/Tax_Breakdown/Details, 13/3/6 columns and transaction IDs 1 and 2. This review-only workbook did not approve or reserve receipts.</w:t>
      </w:r>
    </w:p>
    <w:p>
      <w:pPr>
        <w:pStyle w:val="ListBullet"/>
      </w:pPr>
      <w:r>
        <w:t>After replacing the Cloud Run revision, all five jobs remained present. The workbook and every original document retained their exact SHA-256 hashes.</w:t>
      </w:r>
    </w:p>
    <w:p>
      <w:pPr>
        <w:pStyle w:val="ListBullet"/>
      </w:pPr>
      <w:r>
        <w:t>Actual desktop/mobile browser checks cover Firebase password sign-in, authenticated source preview, Excel download and sign-out.</w:t>
      </w:r>
    </w:p>
    <w:p>
      <w:r>
        <w:t>This proves the earlier hosted synthetic workflow, not accuracy or export eligibility for unapproved business extracts. Database backup restoration and representative held-out evaluation remain separate acceptance work. The narrow private measurements above must retain their supplier/layout denominators.</w:t>
      </w:r>
    </w:p>
    <w:p>
      <w:r>
        <w:t>Revision 00008 passed adaptive Paddle, authenticated API and References UI lookup, deletion/model-control and cancel-dialog checks. Final revision inv-studio-api-00009-vxw uses the same tested core image plus the cancel/footer fixes, has 100% traffic, and passed the owner-only allowlist and unauthenticated-denial cleanup checks. No live ChatGPT or Claude subscription inference has been tested or certified here.</w:t>
      </w:r>
    </w:p>
    <w:p>
      <w:pPr>
        <w:pStyle w:val="Heading2"/>
      </w:pPr>
      <w:r>
        <w:t>Release owner fill-in</w:t>
      </w:r>
    </w:p>
    <w:p>
      <w:pPr>
        <w:pStyle w:val="ListBullet"/>
      </w:pPr>
      <w:r>
        <w:t>Revision: inv-studio-api-00009-vxw at 100% traffic; same tested core image plus cancel/footer fixes; owner-only allowlist, verified-account flag, smoke-identity deletion and unauthenticated denial PASSED</w:t>
      </w:r>
    </w:p>
    <w:p>
      <w:pPr>
        <w:pStyle w:val="ListBullet"/>
      </w:pPr>
      <w:r>
        <w:t>Repository tests: 214 passed; 0 skipped; Ruff, both Chromium workflows and four GitHub checks passed</w:t>
      </w:r>
    </w:p>
    <w:p>
      <w:pPr>
        <w:pStyle w:val="ListBullet"/>
      </w:pPr>
      <w:r>
        <w:t>PostgreSQL: included in the no-skip repository run</w:t>
      </w:r>
    </w:p>
    <w:p>
      <w:pPr>
        <w:pStyle w:val="ListBullet"/>
      </w:pPr>
      <w:r>
        <w:t>Ruff: clean</w:t>
      </w:r>
    </w:p>
    <w:p>
      <w:pPr>
        <w:pStyle w:val="ListBullet"/>
      </w:pPr>
      <w:r>
        <w:t>Browser: full Chromium workflow passed locally</w:t>
      </w:r>
    </w:p>
    <w:p>
      <w:pPr>
        <w:pStyle w:val="ListBullet"/>
      </w:pPr>
      <w:r>
        <w:t>Container/readers: all three packaged reader warm-ups recovered two synthetic lines; final image sha256 063f72cc… live on 00009-vxw</w:t>
      </w:r>
    </w:p>
    <w:p>
      <w:pPr>
        <w:pStyle w:val="ListBullet"/>
      </w:pPr>
      <w:r>
        <w:t>Native, AI off: 15/15 PDFs; 570/570 lines; 3,990/3,990 tested line fields exact for one layout family</w:t>
      </w:r>
    </w:p>
    <w:p>
      <w:pPr>
        <w:pStyle w:val="ListBullet"/>
      </w:pPr>
      <w:r>
        <w:t>Paddle, AI off: 6/6 adjudicated lines; conservative 60/66 = 90.91% floor with all descriptions treated unproven; bounded adaptive two-page result 23/23 rows, 6/7 headers and 96/99 checked facts (97.0%), about 168 s combined, 2.31 GiB peak</w:t>
      </w:r>
    </w:p>
    <w:p>
      <w:pPr>
        <w:pStyle w:val="ListBullet"/>
      </w:pPr>
      <w:r>
        <w:t>Docling, AI off: bounded native examples work; challenging two-page scan 10/23 line coverage after measured-cell recovery; ten-page timeout unresolved</w:t>
      </w:r>
    </w:p>
    <w:p>
      <w:pPr>
        <w:pStyle w:val="ListBullet"/>
      </w:pPr>
      <w:r>
        <w:t>Managed Vertex: 15 documents/570 lines, all source-tested fields exact for one layout family; calculated usage USD 0.3719325</w:t>
      </w:r>
    </w:p>
    <w:p>
      <w:pPr>
        <w:pStyle w:val="ListBullet"/>
      </w:pPr>
      <w:r>
        <w:t>Private catalog: atomic cutover succeeded; live 412,139 = 114,940 item + 297,199 PO/GRN; archive receipt d06678…; 94 healthy guard probes; state 1.917 s; disk 5.244/10.464 GB; API lookup QA exact-name rank one 2.831 s, typo rank one 1.182 s, PO 0.462 s, impossible strict filter empty; UI exact/typo rank one 1.222/1.293 s, three exact PO results 0.446 s, warnings retained, zero mutations/page errors</w:t>
      </w:r>
    </w:p>
    <w:p>
      <w:pPr>
        <w:pStyle w:val="ListBullet"/>
      </w:pPr>
      <w:r>
        <w:t>Hosted authenticated extension smoke: native 193-row, Paddle 96/99 in 242.98 s, managed-AI 97/99 in 16.18 s, two-invoice review workbook, lookup, deletion/model and cancel-dialog checks passed; 00009-vxw owner-only allowlist and unauthenticated-denial cleanup PASSED</w:t>
      </w:r>
    </w:p>
    <w:p>
      <w:r>
        <w:br w:type="page"/>
      </w:r>
    </w:p>
    <w:p>
      <w:pPr>
        <w:pStyle w:val="Heading1"/>
      </w:pPr>
      <w:r>
        <w:t>Invoice Studio delivery stories</w:t>
      </w:r>
    </w:p>
    <w:p>
      <w:r>
        <w:t>Status distinguishes verified local behavior from business-data acceptance and proposed expansion. Estimates and production gates are in the solution design.</w:t>
      </w:r>
    </w:p>
    <w:p>
      <w:pPr>
        <w:pStyle w:val="Heading2"/>
      </w:pPr>
      <w:r>
        <w:t>INV-01 · Select and confirm an invoice batch</w:t>
      </w:r>
    </w:p>
    <w:p>
      <w:r>
        <w:t>As an AP operator, I want to choose several invoices and confirm the processing rules, so I know which files, data and reader will be used.</w:t>
      </w:r>
    </w:p>
    <w:p>
      <w:r>
        <w:t>Status: Local and hosted processing gate verified.</w:t>
      </w:r>
    </w:p>
    <w:p>
      <w:pPr>
        <w:pStyle w:val="ListBullet"/>
      </w:pPr>
      <w:r>
        <w:t>Cancel sends no invoice-processing request.</w:t>
      </w:r>
    </w:p>
    <w:p>
      <w:pPr>
        <w:pStyle w:val="ListBullet"/>
      </w:pPr>
      <w:r>
        <w:t>A confirmed plan is bound to filenames/sizes, engine/model, reference version and tolerances.</w:t>
      </w:r>
    </w:p>
    <w:p>
      <w:pPr>
        <w:pStyle w:val="ListBullet"/>
      </w:pPr>
      <w:r>
        <w:t>Changed rules require a fresh confirmation.</w:t>
      </w:r>
    </w:p>
    <w:p>
      <w:pPr>
        <w:pStyle w:val="ListBullet"/>
      </w:pPr>
      <w:r>
        <w:t>Each file becomes one invoice job; up to two run concurrently and the rest remain visibly queued.</w:t>
      </w:r>
    </w:p>
    <w:p>
      <w:pPr>
        <w:pStyle w:val="Heading2"/>
      </w:pPr>
      <w:r>
        <w:t>INV-02 · Read digital invoices and scans</w:t>
      </w:r>
    </w:p>
    <w:p>
      <w:r>
        <w:t>As an AP operator, I want to extract headers and every item line from supported files, so I avoid retyping supplier documents.</w:t>
      </w:r>
    </w:p>
    <w:p>
      <w:r>
        <w:t>Status: Local and hosted paths measured on bounded cases; broad 95% quality remains unproven.</w:t>
      </w:r>
    </w:p>
    <w:p>
      <w:pPr>
        <w:pStyle w:val="ListBullet"/>
      </w:pPr>
      <w:r>
        <w:t>Native AI-off conversion recovered 570/570 lines and 3,990/3,990 tested line facts on one 15-PDF layout family. Paddle's conservative floor is 60/66 (90.91%) with descriptions unproven. On a separate challenging two-page scan, the bounded adaptive path improved the whole local result from 90/99 (90.9%) to 96/99 (97.0%) while retaining 23/23 rows and 6/7 headers; exact line facts were 21/23 SKUs and 23/23 quantities, prices and printed net amounts. Both local passes took about 168 seconds and peaked at 2.31 GiB. Revision 00008 introduced a 360-second Paddle budget and 150-second eligibility ceiling; its hosted Paddle run completed the adaptive path in 242.98 seconds and returned the same 23 rows and 96/99 facts. Docling stays at 240 seconds. The alternate did not trigger on the three earlier scans, and early failure or any protected regression keeps the baseline. A separate hosted managed-AI check returned 23 rows and 97/99 facts in 16.18 seconds with correct printed buyer-name separation. Docling works on bounded native tables, but measured OCR geometry yielded only 10/23 lines on that challenging scan with poor source-position matches and its ten-page timeout remains unresolved.</w:t>
      </w:r>
    </w:p>
    <w:p>
      <w:pPr>
        <w:pStyle w:val="ListBullet"/>
      </w:pPr>
      <w:r>
        <w:t>A readable PDF with no matching supplier template keeps native text and skips expensive image OCR. Conservative layout rules require an invoice heading, reject purchase orders, extract only explicit labels/spatial rows and never infer internal business codes or header totals.</w:t>
      </w:r>
    </w:p>
    <w:p>
      <w:pPr>
        <w:pStyle w:val="ListBullet"/>
      </w:pPr>
      <w:r>
        <w:t>The job view names the active stage rather than presenting extraction as one opaque wait. A scanned invoice2data route names Paddle as its image-text input.</w:t>
      </w:r>
    </w:p>
    <w:p>
      <w:pPr>
        <w:pStyle w:val="ListBullet"/>
      </w:pPr>
      <w:r>
        <w:t>Unread or incomplete output records an explainable reader trace that separates engine failure from text-only output with zero structured items; field completeness is read coverage, not accuracy.</w:t>
      </w:r>
    </w:p>
    <w:p>
      <w:pPr>
        <w:pStyle w:val="ListBullet"/>
      </w:pPr>
      <w:r>
        <w:t>Unsupported, encrypted, oversized and multi-invoice files receive a clear exception or split instruction.</w:t>
      </w:r>
    </w:p>
    <w:p>
      <w:pPr>
        <w:pStyle w:val="Heading2"/>
      </w:pPr>
      <w:r>
        <w:t>INV-03 · Use a chosen AI connection for exceptions</w:t>
      </w:r>
    </w:p>
    <w:p>
      <w:r>
        <w:t>As an AP operator, I want to select a provider/model and enable automatic fallback, so unfamiliar layouts can be proposed for review.</w:t>
      </w:r>
    </w:p>
    <w:p>
      <w:r>
        <w:t>Status: Adapter contracts and bounded hosted managed-AI checks passed; representative accuracy and live subscription inference remain pending.</w:t>
      </w:r>
    </w:p>
    <w:p>
      <w:pPr>
        <w:pStyle w:val="ListBullet"/>
      </w:pPr>
      <w:r>
        <w:t>Managed Vertex uses the hosted workspace service identity and project billing; API/subscription options remain selectable. AI is called only after explicit selection/confirmed fallback and local extraction failure or incompleteness.</w:t>
      </w:r>
    </w:p>
    <w:p>
      <w:pPr>
        <w:pStyle w:val="ListBullet"/>
      </w:pPr>
      <w:r>
        <w:t>Provider output must pass the strict invoice schema; missing facts remain missing.</w:t>
      </w:r>
    </w:p>
    <w:p>
      <w:pPr>
        <w:pStyle w:val="ListBullet"/>
      </w:pPr>
      <w:r>
        <w:t>A saved API key is labelled separately from verified provider access. When no connected model is selected, the UI may offer an available connected model without replacing a user's still-connected selection.</w:t>
      </w:r>
    </w:p>
    <w:p>
      <w:pPr>
        <w:pStyle w:val="ListBullet"/>
      </w:pPr>
      <w:r>
        <w:t>Credentials never appear in browser storage, exported files or ordinary API errors.</w:t>
      </w:r>
    </w:p>
    <w:p>
      <w:pPr>
        <w:pStyle w:val="ListBullet"/>
      </w:pPr>
      <w:r>
        <w:t>Claude setup-token and move-only ChatGPT owner-transfer paths remain subject to live account eligibility and release validation; mocked adapters do not prove subscription inference.</w:t>
      </w:r>
    </w:p>
    <w:p>
      <w:pPr>
        <w:pStyle w:val="ListBullet"/>
      </w:pPr>
      <w:r>
        <w:t>The measured one-layout result cannot establish the expected 95% across suppliers, scans, languages and lengths. Frozen held-out gold still governs acceptance.</w:t>
      </w:r>
    </w:p>
    <w:p>
      <w:pPr>
        <w:pStyle w:val="Heading2"/>
      </w:pPr>
      <w:r>
        <w:t>INV-04 · Map and approve business reference extracts</w:t>
      </w:r>
    </w:p>
    <w:p>
      <w:r>
        <w:t>As an data steward, I want to profile the whole item and PO/GRN files and approve explicit mappings, so the validator uses evidence with known meaning.</w:t>
      </w:r>
    </w:p>
    <w:p>
      <w:r>
        <w:t>Status: Atomic cutover completed with 412,139 live evidence rows—114,940 item and 297,199 PO/GRN—and a sanitized archive receipt beginning d06678; authenticated API and References UI lookup QA passed.</w:t>
      </w:r>
    </w:p>
    <w:p>
      <w:pPr>
        <w:pStyle w:val="ListBullet"/>
      </w:pPr>
      <w:r>
        <w:t>Preserve original bytes, hashes and row/column provenance; inspect all populated cells.</w:t>
      </w:r>
    </w:p>
    <w:p>
      <w:pPr>
        <w:pStyle w:val="ListBullet"/>
      </w:pPr>
      <w:r>
        <w:t>Separate unique matches, duplicates, ambiguous joins and missing fields.</w:t>
      </w:r>
    </w:p>
    <w:p>
      <w:pPr>
        <w:pStyle w:val="ListBullet"/>
      </w:pPr>
      <w:r>
        <w:t>Identifier and fuzzy product-name searches show source/conflict context, price/quantity/unit ranking clues and require explicit human confirmation; confirmed lookup evidence is not approved matching data.</w:t>
      </w:r>
    </w:p>
    <w:p>
      <w:pPr>
        <w:pStyle w:val="ListBullet"/>
      </w:pPr>
      <w:r>
        <w:t>Unknown seller, printed buyer name versus internal buyer/company code, route, receipt acceptance and invoiced baseline block approval; never default them silently.</w:t>
      </w:r>
    </w:p>
    <w:p>
      <w:pPr>
        <w:pStyle w:val="Heading2"/>
      </w:pPr>
      <w:r>
        <w:t>INV-05 · Match the exact supplier route and items</w:t>
      </w:r>
    </w:p>
    <w:p>
      <w:r>
        <w:t>As an AP operator, I want to check supplier, site, company, PO, item identity and unit, so an invoice cannot borrow approval from another market or entity.</w:t>
      </w:r>
    </w:p>
    <w:p>
      <w:r>
        <w:t>Status: Canonical matching implemented and tested.</w:t>
      </w:r>
    </w:p>
    <w:p>
      <w:pPr>
        <w:pStyle w:val="ListBullet"/>
      </w:pPr>
      <w:r>
        <w:t>Domestic and cross-border routes require their exact approval tuple.</w:t>
      </w:r>
    </w:p>
    <w:p>
      <w:pPr>
        <w:pStyle w:val="ListBullet"/>
      </w:pPr>
      <w:r>
        <w:t>Conflicting SKU and barcode identity is held.</w:t>
      </w:r>
    </w:p>
    <w:p>
      <w:pPr>
        <w:pStyle w:val="ListBullet"/>
      </w:pPr>
      <w:r>
        <w:t>Location type comes from an explicit reference field, not a numeric prefix.</w:t>
      </w:r>
    </w:p>
    <w:p>
      <w:pPr>
        <w:pStyle w:val="Heading2"/>
      </w:pPr>
      <w:r>
        <w:t>INV-06 · Protect receipt quantity and commercial controls</w:t>
      </w:r>
    </w:p>
    <w:p>
      <w:r>
        <w:t>As an finance owner, I want to check price, accepted receipt balance and tax with decimal rules, so we avoid incorrect or duplicate charges.</w:t>
      </w:r>
    </w:p>
    <w:p>
      <w:r>
        <w:t>Status: Implemented and tested.</w:t>
      </w:r>
    </w:p>
    <w:p>
      <w:pPr>
        <w:pStyle w:val="ListBullet"/>
      </w:pPr>
      <w:r>
        <w:t>Accepted receipts minus returns, external baseline and this app allocations determine available quantity.</w:t>
      </w:r>
    </w:p>
    <w:p>
      <w:pPr>
        <w:pStyle w:val="ListBullet"/>
      </w:pPr>
      <w:r>
        <w:t>Repeated lines and multiple invoices consume quantity cumulatively.</w:t>
      </w:r>
    </w:p>
    <w:p>
      <w:pPr>
        <w:pStyle w:val="ListBullet"/>
      </w:pPr>
      <w:r>
        <w:t>Tolerance and currency rounding are explicit; no credit or mixed-tax allocation is invented.</w:t>
      </w:r>
    </w:p>
    <w:p>
      <w:pPr>
        <w:pStyle w:val="Heading2"/>
      </w:pPr>
      <w:r>
        <w:t>INV-07 · Review evidence and resolve exceptions</w:t>
      </w:r>
    </w:p>
    <w:p>
      <w:r>
        <w:t>As an AP reviewer, I want to compare the source with editable fields and record review, so every exported value has checked evidence.</w:t>
      </w:r>
    </w:p>
    <w:p>
      <w:r>
        <w:t>Status: Implemented and browser verified.</w:t>
      </w:r>
    </w:p>
    <w:p>
      <w:pPr>
        <w:pStyle w:val="ListBullet"/>
      </w:pPr>
      <w:r>
        <w:t>Review confirmation cannot override validation holds.</w:t>
      </w:r>
    </w:p>
    <w:p>
      <w:pPr>
        <w:pStyle w:val="ListBullet"/>
      </w:pPr>
      <w:r>
        <w:t>Concurrent edits with stale revisions are rejected.</w:t>
      </w:r>
    </w:p>
    <w:p>
      <w:pPr>
        <w:pStyle w:val="ListBullet"/>
      </w:pPr>
      <w:r>
        <w:t>Rules changing during extraction prevent stale approval and require a new processing plan.</w:t>
      </w:r>
    </w:p>
    <w:p>
      <w:pPr>
        <w:pStyle w:val="ListBullet"/>
      </w:pPr>
      <w:r>
        <w:t>A manual draft created from an active job cannot alter the job revision, extracted invoice or review status.</w:t>
      </w:r>
    </w:p>
    <w:p>
      <w:pPr>
        <w:pStyle w:val="ListBullet"/>
      </w:pPr>
      <w:r>
        <w:t>Printed line net/tax amounts survive edits without changing printed unit price; there is no automatic repricing.</w:t>
      </w:r>
    </w:p>
    <w:p>
      <w:pPr>
        <w:pStyle w:val="ListBullet"/>
      </w:pPr>
      <w:r>
        <w:t>Printed buyer name remains separate from the internal buyer/company code; a visible name cannot become an internal code without approved reference evidence.</w:t>
      </w:r>
    </w:p>
    <w:p>
      <w:pPr>
        <w:pStyle w:val="Heading2"/>
      </w:pPr>
      <w:r>
        <w:t>INV-08 · Download combined review or approved workbooks</w:t>
      </w:r>
    </w:p>
    <w:p>
      <w:r>
        <w:t>As an AP operator, I want one combined workbook for saved processed invoices and a separate approved export, so review can move quickly without weakening controls.</w:t>
      </w:r>
    </w:p>
    <w:p>
      <w:r>
        <w:t>Status: Implemented and browser/workbook verified.</w:t>
      </w:r>
    </w:p>
    <w:p>
      <w:pPr>
        <w:pStyle w:val="ListBullet"/>
      </w:pPr>
      <w:r>
        <w:t>Header/Tax_Breakdown/Details have exactly 13/3/6 columns and no helper formulas.</w:t>
      </w:r>
    </w:p>
    <w:p>
      <w:pPr>
        <w:pStyle w:val="ListBullet"/>
      </w:pPr>
      <w:r>
        <w:t>Invoice transaction IDs are 1..N and consistent across all three sheets.</w:t>
      </w:r>
    </w:p>
    <w:p>
      <w:pPr>
        <w:pStyle w:val="ListBullet"/>
      </w:pPr>
      <w:r>
        <w:t>EXTRACTION_REVIEW_ONLY accepts saved processed records, keeps unknown codes blank and changes no job, approval, ledger or allocation.</w:t>
      </w:r>
    </w:p>
    <w:p>
      <w:pPr>
        <w:pStyle w:val="ListBullet"/>
      </w:pPr>
      <w:r>
        <w:t>Export rechecks and reserves quantities atomically; repeat download does not duplicate an allocation.</w:t>
      </w:r>
    </w:p>
    <w:p>
      <w:pPr>
        <w:pStyle w:val="Heading2"/>
      </w:pPr>
      <w:r>
        <w:t>INV-09 · Recover and audit local operations</w:t>
      </w:r>
    </w:p>
    <w:p>
      <w:r>
        <w:t>As a service owner, I want to retain sources, rule versions, edits and exports, so a failed reader or restart can be explained and retried.</w:t>
      </w:r>
    </w:p>
    <w:p>
      <w:r>
        <w:t>Status: Instance-replacement persistence verified; database backup restoration remains a production gate.</w:t>
      </w:r>
    </w:p>
    <w:p>
      <w:pPr>
        <w:pStyle w:val="ListBullet"/>
      </w:pPr>
      <w:r>
        <w:t>Restarted in-flight jobs visibly require retry; completed exports remain downloadable.</w:t>
      </w:r>
    </w:p>
    <w:p>
      <w:pPr>
        <w:pStyle w:val="ListBullet"/>
      </w:pPr>
      <w:r>
        <w:t>New audit events distinguish text read, fields extracted and extraction failed. The legacy extracted label says only that a reader run finished.</w:t>
      </w:r>
    </w:p>
    <w:p>
      <w:pPr>
        <w:pStyle w:val="ListBullet"/>
      </w:pPr>
      <w:r>
        <w:t>Export records include reference version, policy and allocations.</w:t>
      </w:r>
    </w:p>
    <w:p>
      <w:pPr>
        <w:pStyle w:val="ListBullet"/>
      </w:pPr>
      <w:r>
        <w:t>Recovery procedure preserves the database plus the corresponding encryption key.</w:t>
      </w:r>
    </w:p>
    <w:p>
      <w:pPr>
        <w:pStyle w:val="Heading2"/>
      </w:pPr>
      <w:r>
        <w:t>INV-10 · Run a restricted cloud workspace</w:t>
      </w:r>
    </w:p>
    <w:p>
      <w:r>
        <w:t>As a workspace owner, I want to sign in to a Firebase frontend backed by durable GCP services, so the team can use a hosted portal without losing evidence on restart.</w:t>
      </w:r>
    </w:p>
    <w:p>
      <w:r>
        <w:t>Status: Hosted synthetic workflow and instance-replacement persistence verified.</w:t>
      </w:r>
    </w:p>
    <w:p>
      <w:pPr>
        <w:pStyle w:val="ListBullet"/>
      </w:pPr>
      <w:r>
        <w:t>Unauthenticated and non-allowlisted accounts cannot access invoices, references or connections.</w:t>
      </w:r>
    </w:p>
    <w:p>
      <w:pPr>
        <w:pStyle w:val="ListBullet"/>
      </w:pPr>
      <w:r>
        <w:t>Database and document evidence survive a replacement application instance.</w:t>
      </w:r>
    </w:p>
    <w:p>
      <w:pPr>
        <w:pStyle w:val="ListBullet"/>
      </w:pPr>
      <w:r>
        <w:t>Live UI, auth rejection, synthetic extraction/export and persistence smoke checks pass before operational handoff.</w:t>
      </w:r>
    </w:p>
    <w:p>
      <w:pPr>
        <w:pStyle w:val="ListBullet"/>
      </w:pPr>
      <w:r>
        <w:t>Final revision inv-studio-api-00009-vxw has 100% traffic; Paddle, managed AI, authenticated API/browser lookup, deletion/model controls and cancel-dialog behavior passed. The allowlist is owner-only, the owner account remained email-verified, unauthenticated API calls are denied and the smoke identity was deleted.</w:t>
      </w:r>
    </w:p>
    <w:p>
      <w:pPr>
        <w:pStyle w:val="Heading2"/>
      </w:pPr>
      <w:r>
        <w:t>INV-11 · Qualify suppliers for a new store or market</w:t>
      </w:r>
    </w:p>
    <w:p>
      <w:r>
        <w:t>As a procurement owner, I want to reuse approved coverage and start discovery only for gaps, so store openings do not repeat every supplier task.</w:t>
      </w:r>
    </w:p>
    <w:p>
      <w:r>
        <w:t>Status: Proposed next product increment.</w:t>
      </w:r>
    </w:p>
    <w:p>
      <w:pPr>
        <w:pStyle w:val="ListBullet"/>
      </w:pPr>
      <w:r>
        <w:t>Same-market coverage reuses valid route facts with provenance/expiry.</w:t>
      </w:r>
    </w:p>
    <w:p>
      <w:pPr>
        <w:pStyle w:val="ListBullet"/>
      </w:pPr>
      <w:r>
        <w:t>New market or buying entity creates an explicit qualification case.</w:t>
      </w:r>
    </w:p>
    <w:p>
      <w:pPr>
        <w:pStyle w:val="ListBullet"/>
      </w:pPr>
      <w:r>
        <w:t>AI suggestions cannot approve a legal entity, route or commercial agreement.</w:t>
      </w:r>
    </w:p>
    <w:p>
      <w:pPr>
        <w:pStyle w:val="Heading2"/>
      </w:pPr>
      <w:r>
        <w:t>INV-12 · Normalize supplier items for buying and digital channels</w:t>
      </w:r>
    </w:p>
    <w:p>
      <w:r>
        <w:t>As an item-data steward, I want to turn varied supplier files into approved item identities and channel content, so purchasing and commerce teams can reuse a consistent catalog.</w:t>
      </w:r>
    </w:p>
    <w:p>
      <w:r>
        <w:t>Status: Proposed next product increment.</w:t>
      </w:r>
    </w:p>
    <w:p>
      <w:pPr>
        <w:pStyle w:val="ListBullet"/>
      </w:pPr>
      <w:r>
        <w:t>Supplier codes, internal items, barcodes, packaging and units have explicit mappings.</w:t>
      </w:r>
    </w:p>
    <w:p>
      <w:pPr>
        <w:pStyle w:val="ListBullet"/>
      </w:pPr>
      <w:r>
        <w:t>Conflicting identities and unit conversions need steward approval.</w:t>
      </w:r>
    </w:p>
    <w:p>
      <w:pPr>
        <w:pStyle w:val="ListBullet"/>
      </w:pPr>
      <w:r>
        <w:t>Channel-specific text, attributes, images and translations are versioned separately from purchasing identity.</w:t>
      </w:r>
    </w:p>
    <w:p>
      <w:pPr>
        <w:pStyle w:val="Heading2"/>
      </w:pPr>
      <w:r>
        <w:t>INV-13 · Download an explicitly unvalidated manual draft</w:t>
      </w:r>
    </w:p>
    <w:p>
      <w:r>
        <w:t>As an AP operator, I want to edit every target workbook field and download a draft while OCR is still running, so urgent manual work is not blocked by a slow reader.</w:t>
      </w:r>
    </w:p>
    <w:p>
      <w:r>
        <w:t>Status: Implemented and hosted; job and ledger non-mutation checks passed.</w:t>
      </w:r>
    </w:p>
    <w:p>
      <w:pPr>
        <w:pStyle w:val="ListBullet"/>
      </w:pPr>
      <w:r>
        <w:t>Header/Tax_Breakdown/Details expose exactly 13/3/6 editable fields with one joined transaction, leading-zero-safe identifiers and Decimal arithmetic.</w:t>
      </w:r>
    </w:p>
    <w:p>
      <w:pPr>
        <w:pStyle w:val="ListBullet"/>
      </w:pPr>
      <w:r>
        <w:t>Download requires an explicit unvalidated acknowledgement and the filename, workbook properties and cell comments say DRAFT_UNVALIDATED and no receipt reservation.</w:t>
      </w:r>
    </w:p>
    <w:p>
      <w:pPr>
        <w:pStyle w:val="ListBullet"/>
      </w:pPr>
      <w:r>
        <w:t>Draft creation does not read the active extraction payload, approve a reference, change job status/revision/invoice, write the approved export ledger or reserve receipt quantity.</w:t>
      </w:r>
    </w:p>
    <w:p>
      <w:pPr>
        <w:pStyle w:val="Heading2"/>
      </w:pPr>
      <w:r>
        <w:t>INV-14 · Search large source extracts without implying approval</w:t>
      </w:r>
    </w:p>
    <w:p>
      <w:r>
        <w:t>As a data steward, I want to search actual item and PO sources by identifier or product name, so I can find evidence without loading unapproved rows into canonical matching.</w:t>
      </w:r>
    </w:p>
    <w:p>
      <w:r>
        <w:t>Status: Atomic cutover completed with 412,139 live source-evidence rows and exact item/PO counts; authenticated API and References UI lookup QA passed, and lookup still cannot approve canonical matching.</w:t>
      </w:r>
    </w:p>
    <w:p>
      <w:pPr>
        <w:pStyle w:val="ListBullet"/>
      </w:pPr>
      <w:r>
        <w:t>Results retain source row and conflict/duplicate context, with filters, bounded pagination and visible name/price/quantity/unit matching clues.</w:t>
      </w:r>
    </w:p>
    <w:p>
      <w:pPr>
        <w:pStyle w:val="ListBullet"/>
      </w:pPr>
      <w:r>
        <w:t>The operator explicitly confirms a selected result before it can populate the manual workspace.</w:t>
      </w:r>
    </w:p>
    <w:p>
      <w:pPr>
        <w:pStyle w:val="ListBullet"/>
      </w:pPr>
      <w:r>
        <w:t>Summary, search and confirmation state clearly that source evidence is not approved for matching, receipt allocation or export readiness.</w:t>
      </w:r>
    </w:p>
    <w:p>
      <w:pPr>
        <w:pStyle w:val="Heading2"/>
      </w:pPr>
      <w:r>
        <w:t>INV-15 · Move an owner subscription connection to the hosted workspace</w:t>
      </w:r>
    </w:p>
    <w:p>
      <w:r>
        <w:t>As a workspace owner, I want to connect the restricted Claude CLI or move my ChatGPT registration into my authenticated hosted workspace, so the provider can use my authorized account without sharing a raw secret through the browser state.</w:t>
      </w:r>
    </w:p>
    <w:p>
      <w:r>
        <w:t>Status: Hosted model controls passed managed-Vertex autoload/retry and visible bad-key rejection; live Claude/ChatGPT subscription inference remains unverified.</w:t>
      </w:r>
    </w:p>
    <w:p>
      <w:pPr>
        <w:pStyle w:val="ListBullet"/>
      </w:pPr>
      <w:r>
        <w:t>Claude setup tokens are encrypted, omitted from state, removable, and supplied only to the restricted server CLI with tools disabled.</w:t>
      </w:r>
    </w:p>
    <w:p>
      <w:pPr>
        <w:pStyle w:val="ListBullet"/>
      </w:pPr>
      <w:r>
        <w:t>ChatGPT starts local OAuth under the application's own registration; successful export constructs a one-time bundle, deletes local encrypted credentials, disconnects and clears the active local account.</w:t>
      </w:r>
    </w:p>
    <w:p>
      <w:pPr>
        <w:pStyle w:val="ListBullet"/>
      </w:pPr>
      <w:r>
        <w:t>Only an authenticated cloud owner can import and verify the bundle. Export is denied in cloud mode, import is denied locally, and no test result implies provider eligibility or live inference quality.</w:t>
      </w:r>
    </w:p>
    <w:p>
      <w:pPr>
        <w:pStyle w:val="Heading2"/>
      </w:pPr>
      <w:r>
        <w:t>INV-16 · Permanently remove invoice data with explicit retention</w:t>
      </w:r>
    </w:p>
    <w:p>
      <w:r>
        <w:t>As a workspace owner, I want to delete selected invoices with a clear retention receipt, so live evidence is removed without breaking duplicate or receipt controls.</w:t>
      </w:r>
    </w:p>
    <w:p>
      <w:r>
        <w:t>Status: Implemented and hosted deletion verification passed.</w:t>
      </w:r>
    </w:p>
    <w:p>
      <w:pPr>
        <w:pStyle w:val="ListBullet"/>
      </w:pPr>
      <w:r>
        <w:t>Deletion requires explicit permanent confirmation and current job revisions; active jobs and partial exported batches are rejected atomically.</w:t>
      </w:r>
    </w:p>
    <w:p>
      <w:pPr>
        <w:pStyle w:val="ListBullet"/>
      </w:pPr>
      <w:r>
        <w:t>Live job payloads, source objects, detailed invoice audit, generated exports and batch workbooks are removed.</w:t>
      </w:r>
    </w:p>
    <w:p>
      <w:pPr>
        <w:pStyle w:val="ListBullet"/>
      </w:pPr>
      <w:r>
        <w:t>Approved invoices retain only the invoice key and PO-line quantity allocations needed for duplicate/receipt controls, plus a minimal deletion audit without invoice content.</w:t>
      </w:r>
    </w:p>
    <w:p>
      <w:pPr>
        <w:pStyle w:val="ListBullet"/>
      </w:pPr>
      <w:r>
        <w:t>The response states that provider backups, logs, object versions and soft-deleted copies follow provider retention and are outside this live-store action.</w:t>
      </w:r>
    </w:p>
    <w:sectPr w:rsidR="00FC693F" w:rsidRPr="0006063C" w:rsidSect="00034616">
      <w:foot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Inv Studio • Implementation and acceptance guide • Synthetic examples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C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2C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32C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2C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