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INV STUDIO</w:t>
      </w:r>
    </w:p>
    <w:p>
      <w:pPr>
        <w:pStyle w:val="Title"/>
      </w:pPr>
      <w:r>
        <w:t>From supplier invoice</w:t>
        <w:br/>
        <w:t>to checked Excel</w:t>
      </w:r>
    </w:p>
    <w:p>
      <w:pPr>
        <w:pStyle w:val="Subtitle"/>
      </w:pPr>
      <w:r>
        <w:t>Solution design • operating model • verification record • build stories</w:t>
      </w:r>
    </w:p>
    <w:p>
      <w:r>
        <w:t>5 October 2026</w:t>
        <w:br/>
        <w:t>Access hotfix 00005-zdk passed authenticated state checks, browser login with 31 retained jobs and sign-out. The complete feature release is not yet live, and hosted lookup currently reports zero rows. 148 backend tests pass with PostgreSQL included and no skips; Ruff, the full Chromium workflow and all three Docker reader warmups pass. Measured native and Paddle results are bounded to their evaluated layouts, while Docling failures and the unresolved broad 95% expectation remain visible.</w:t>
      </w:r>
    </w:p>
    <w:p>
      <w:r>
        <w:t>For senior leaders, product owners, AP operators and the engineering team. Read the decision and process first; use the data contract and stories when building or accepting a release.</w:t>
      </w:r>
    </w:p>
    <w:p>
      <w:r>
        <w:br w:type="page"/>
      </w:r>
    </w:p>
    <w:p>
      <w:pPr>
        <w:pStyle w:val="Heading1"/>
      </w:pPr>
      <w:r>
        <w:t>Invoice first. A supplier platform next.</w:t>
      </w:r>
    </w:p>
    <w:p>
      <w:r>
        <w:t>Decision document • 5 October 2026 • Local MVP, hosted pilot and proposed production roadmap</w:t>
      </w:r>
    </w:p>
    <w:p>
      <w:pPr>
        <w:pStyle w:val="Heading2"/>
      </w:pPr>
      <w:r>
        <w:t>The decision</w:t>
      </w:r>
    </w:p>
    <w:p>
      <w:r>
        <w:t>Build the invoice control, matching and review product in house. Reuse maintained document readers instead of training a new OCR model first. Keep AI replaceable. The lasting product value is knowing which supplier, site, company, item, purchase order and receipt a document belongs to, and showing why a proposed Excel row is safe to produce.</w:t>
      </w:r>
    </w:p>
    <w:p>
      <w:r>
        <w:t>The first release removes rekeying where evidence is available. It does not remove the need for a person to resolve missing or contradictory evidence. A complete-looking answer from AI is not proof that goods were received or that a supplier is approved.</w:t>
      </w:r>
    </w:p>
    <w:p>
      <w:pPr>
        <w:pStyle w:val="Heading2"/>
      </w:pPr>
      <w:r>
        <w:t>A normal day in the new process</w:t>
      </w:r>
    </w:p>
    <w:p>
      <w:r>
        <w:t>An accounts-payable operator selects a batch of invoices. The portal shows the reference version, reader, fallback provider and price/total rules. The operator confirms those choices once for the batch. Each file gets its own job and visible stage, so a poor scan does not hide the progress of other invoices. A readable PDF first uses its native text; when no supplier template matches, conservative layout rules look only for explicit invoice labels and spatial table columns. A strong invoice heading is required, purchase orders are rejected, ambiguous values stay empty and internal business codes are never inferred. The automatic path then skips the expensive image-OCR pass and can use the permitted AI fallback.</w:t>
      </w:r>
    </w:p>
    <w:p>
      <w:r>
        <w:t>The readers propose invoice fields and lines. The application uses a known PO to fill missing internal identifiers only when that PO has one unambiguous record. It records the source of each derived value. It matches item identifiers within the supplier site, checks prices and units, and compares quantities with accepted receipts after returns and previous allocations.</w:t>
      </w:r>
    </w:p>
    <w:p>
      <w:r>
        <w:t>The operator sees the document, extracted fields, current stage, reader trace and reasons for any hold. Up to two files process at once; the rest remain queued. Select processed supports invoice-by-invoice review, and visible unsaved changes must be saved before opening another invoice or downloading a batch. Selected saved records can become one EXTRACTION_REVIEW_ONLY workbook without approval or allocation. Selected ready invoices use the separate approved path: transaction IDs are shared across all three sheets, and export plus quantity allocation happen in one database transaction.</w:t>
      </w:r>
    </w:p>
    <w:p>
      <w:r>
        <w:t>When the business needs a file before OCR or reference approval finishes, a separate manual editor exposes every target column. It downloads one transaction as DRAFT_UNVALIDATED only after an explicit acknowledgement. The workbook and audit record say that references were not validated and no receipt was reserved. It neither changes the extraction job nor enters the approved-export ledger.</w:t>
      </w:r>
    </w:p>
    <w:p>
      <w:r>
        <w:t>Large source extracts can feed a separate read-only evidence lookup. The private source profile contains 412,139 rows: 114,940 item rows and 297,199 PO/GRN rows. Its hosted import is paused/cancelling during API recovery and the live lookup reports zero rows, so availability is not confirmed. When loaded, exact identifier and product-name searches retain source and conflict context; lookup evidence never becomes approved matching data by itself.</w:t>
      </w:r>
    </w:p>
    <w:p>
      <w:pPr>
        <w:pStyle w:val="Heading2"/>
      </w:pPr>
      <w:r>
        <w:t>What has been built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Current delivery</w:t>
            </w:r>
          </w:p>
        </w:tc>
        <w:tc>
          <w:tcPr>
            <w:tcW w:type="dxa" w:w="2880"/>
          </w:tcPr>
          <w:p>
            <w:r>
              <w:t>Next gate</w:t>
            </w:r>
          </w:p>
        </w:tc>
      </w:tr>
      <w:tr>
        <w:tc>
          <w:tcPr>
            <w:tcW w:type="dxa" w:w="2880"/>
          </w:tcPr>
          <w:p>
            <w:r>
              <w:t>Multiple invoice files</w:t>
            </w:r>
          </w:p>
        </w:tc>
        <w:tc>
          <w:tcPr>
            <w:tcW w:type="dxa" w:w="2880"/>
          </w:tcPr>
          <w:p>
            <w:r>
              <w:t>Local and hosted portal, guarded processing, queue and editable review</w:t>
            </w:r>
          </w:p>
        </w:tc>
        <w:tc>
          <w:tcPr>
            <w:tcW w:type="dxa" w:w="2880"/>
          </w:tcPr>
          <w:p>
            <w:r>
              <w:t>Representative supplier-format evaluation</w:t>
            </w:r>
          </w:p>
        </w:tc>
      </w:tr>
      <w:tr>
        <w:tc>
          <w:tcPr>
            <w:tcW w:type="dxa" w:w="2880"/>
          </w:tcPr>
          <w:p>
            <w:r>
              <w:t>Document reading</w:t>
            </w:r>
          </w:p>
        </w:tc>
        <w:tc>
          <w:tcPr>
            <w:tcW w:type="dxa" w:w="2880"/>
          </w:tcPr>
          <w:p>
            <w:r>
              <w:t>invoice2data, conservative native layout rules, PaddleOCR and Docling installed and exercised</w:t>
            </w:r>
          </w:p>
        </w:tc>
        <w:tc>
          <w:tcPr>
            <w:tcW w:type="dxa" w:w="2880"/>
          </w:tcPr>
          <w:p>
            <w:r>
              <w:t>Frozen held-out accuracy evaluation by supplier, scan quality, language and length</w:t>
            </w:r>
          </w:p>
        </w:tc>
      </w:tr>
      <w:tr>
        <w:tc>
          <w:tcPr>
            <w:tcW w:type="dxa" w:w="2880"/>
          </w:tcPr>
          <w:p>
            <w:r>
              <w:t>Readable-PDF path</w:t>
            </w:r>
          </w:p>
        </w:tc>
        <w:tc>
          <w:tcPr>
            <w:tcW w:type="dxa" w:w="2880"/>
          </w:tcPr>
          <w:p>
            <w:r>
              <w:t>Native text can bypass image OCR; invoice headings, explicit labels and spatial columns are required</w:t>
            </w:r>
          </w:p>
        </w:tc>
        <w:tc>
          <w:tcPr>
            <w:tcW w:type="dxa" w:w="2880"/>
          </w:tcPr>
          <w:p>
            <w:r>
              <w:t>Expand rules only from adjudicated failures; do not infer internal codes or ambiguous facts</w:t>
            </w:r>
          </w:p>
        </w:tc>
      </w:tr>
      <w:tr>
        <w:tc>
          <w:tcPr>
            <w:tcW w:type="dxa" w:w="2880"/>
          </w:tcPr>
          <w:p>
            <w:r>
              <w:t>AI fallback</w:t>
            </w:r>
          </w:p>
        </w:tc>
        <w:tc>
          <w:tcPr>
            <w:tcW w:type="dxa" w:w="2880"/>
          </w:tcPr>
          <w:p>
            <w:r>
              <w:t>Managed Vertex AI plus OpenAI, Anthropic, ChatGPT and restricted Claude adapters; strict schema and failure handling</w:t>
            </w:r>
          </w:p>
        </w:tc>
        <w:tc>
          <w:tcPr>
            <w:tcW w:type="dxa" w:w="2880"/>
          </w:tcPr>
          <w:p>
            <w:r>
              <w:t>Complete the private held-out evaluation and measure corrections, latency and cost</w:t>
            </w:r>
          </w:p>
        </w:tc>
      </w:tr>
      <w:tr>
        <w:tc>
          <w:tcPr>
            <w:tcW w:type="dxa" w:w="2880"/>
          </w:tcPr>
          <w:p>
            <w:r>
              <w:t>Matching</w:t>
            </w:r>
          </w:p>
        </w:tc>
        <w:tc>
          <w:tcPr>
            <w:tcW w:type="dxa" w:w="2880"/>
          </w:tcPr>
          <w:p>
            <w:r>
              <w:t>Deterministic supplier/site/route/PO/item/receipt/tax rules</w:t>
            </w:r>
          </w:p>
        </w:tc>
        <w:tc>
          <w:tcPr>
            <w:tcW w:type="dxa" w:w="2880"/>
          </w:tcPr>
          <w:p>
            <w:r>
              <w:t>Data-owner-approved reference snapshot</w:t>
            </w:r>
          </w:p>
        </w:tc>
      </w:tr>
      <w:tr>
        <w:tc>
          <w:tcPr>
            <w:tcW w:type="dxa" w:w="2880"/>
          </w:tcPr>
          <w:p>
            <w:r>
              <w:t>Excel</w:t>
            </w:r>
          </w:p>
        </w:tc>
        <w:tc>
          <w:tcPr>
            <w:tcW w:type="dxa" w:w="2880"/>
          </w:tcPr>
          <w:p>
            <w:r>
              <w:t>Exact approved three-sheet output plus combined EXTRACTION_REVIEW_ONLY and all-field DRAFT_UNVALIDATED paths</w:t>
            </w:r>
          </w:p>
        </w:tc>
        <w:tc>
          <w:tcPr>
            <w:tcW w:type="dxa" w:w="2880"/>
          </w:tcPr>
          <w:p>
            <w:r>
              <w:t>Hosted verification and downstream acceptance of each visible boundary</w:t>
            </w:r>
          </w:p>
        </w:tc>
      </w:tr>
      <w:tr>
        <w:tc>
          <w:tcPr>
            <w:tcW w:type="dxa" w:w="2880"/>
          </w:tcPr>
          <w:p>
            <w:r>
              <w:t>Business references</w:t>
            </w:r>
          </w:p>
        </w:tc>
        <w:tc>
          <w:tcPr>
            <w:tcW w:type="dxa" w:w="2880"/>
          </w:tcPr>
          <w:p>
            <w:r>
              <w:t>Canonical import plus a distinct 412,139-row private source profile</w:t>
            </w:r>
          </w:p>
        </w:tc>
        <w:tc>
          <w:tcPr>
            <w:tcW w:type="dxa" w:w="2880"/>
          </w:tcPr>
          <w:p>
            <w:r>
              <w:t>Restore hosted import; record recovery receipt; approve mappings separately</w:t>
            </w:r>
          </w:p>
        </w:tc>
      </w:tr>
      <w:tr>
        <w:tc>
          <w:tcPr>
            <w:tcW w:type="dxa" w:w="2880"/>
          </w:tcPr>
          <w:p>
            <w:r>
              <w:t>Owner connections</w:t>
            </w:r>
          </w:p>
        </w:tc>
        <w:tc>
          <w:tcPr>
            <w:tcW w:type="dxa" w:w="2880"/>
          </w:tcPr>
          <w:p>
            <w:r>
              <w:t>API keys, hosted Claude setup-token CLI, and move-only ChatGPT local-to-hosted credential transfer in source</w:t>
            </w:r>
          </w:p>
        </w:tc>
        <w:tc>
          <w:tcPr>
            <w:tcW w:type="dxa" w:w="2880"/>
          </w:tcPr>
          <w:p>
            <w:r>
              <w:t>Release validation, hosted deployment and live owner-account evaluation</w:t>
            </w:r>
          </w:p>
        </w:tc>
      </w:tr>
      <w:tr>
        <w:tc>
          <w:tcPr>
            <w:tcW w:type="dxa" w:w="2880"/>
          </w:tcPr>
          <w:p>
            <w:r>
              <w:t>Restricted cloud pilot</w:t>
            </w:r>
          </w:p>
        </w:tc>
        <w:tc>
          <w:tcPr>
            <w:tcW w:type="dxa" w:w="2880"/>
          </w:tcPr>
          <w:p>
            <w:r>
              <w:t>Firebase sign-in, Cloud Run, Cloud SQL, private evidence storage and managed secrets</w:t>
            </w:r>
          </w:p>
        </w:tc>
        <w:tc>
          <w:tcPr>
            <w:tcW w:type="dxa" w:w="2880"/>
          </w:tcPr>
          <w:p>
            <w:r>
              <w:t>Business acceptance and operational hardening</w:t>
            </w:r>
          </w:p>
        </w:tc>
      </w:tr>
      <w:tr>
        <w:tc>
          <w:tcPr>
            <w:tcW w:type="dxa" w:w="2880"/>
          </w:tcPr>
          <w:p>
            <w:r>
              <w:t>Shared enterprise service</w:t>
            </w:r>
          </w:p>
        </w:tc>
        <w:tc>
          <w:tcPr>
            <w:tcW w:type="dxa" w:w="2880"/>
          </w:tcPr>
          <w:p>
            <w:r>
              <w:t>Design below</w:t>
            </w:r>
          </w:p>
        </w:tc>
        <w:tc>
          <w:tcPr>
            <w:tcW w:type="dxa" w:w="2880"/>
          </w:tcPr>
          <w:p>
            <w:r>
              <w:t>Role separation, durable workers, operational controls and load testing</w:t>
            </w:r>
          </w:p>
        </w:tc>
      </w:tr>
    </w:tbl>
    <w:p>
      <w:pPr>
        <w:pStyle w:val="Heading2"/>
      </w:pPr>
      <w:r>
        <w:t>Architecture</w:t>
      </w:r>
    </w:p>
    <w:p>
      <w:r>
        <w:t>Flow: Upload → Confirm rules → Template or conservative native layout / OCR / permitted managed Vertex or selected AI → Match approved references → Review evidence → approved export and receipt reservation. Separate outputs: combined EXTRACTION_REVIEW_ONLY and all-field DRAFT_UNVALIDATED, both without approval or reservation.</w:t>
      </w:r>
    </w:p>
    <w:p>
      <w:r>
        <w:t>The browser presents the workflow. FastAPI owns validation and export; no browser-side approval can bypass server rules. Local mode uses SQLite. The hosted pilot uses Cloud SQL PostgreSQL for jobs, encrypted credentials, reference snapshots, audit events and the export ledger, with private Cloud Storage for sources and templates. Reader subprocesses have time limits and receive no application API keys. AI adapters receive only the invoice or extracted text required for reading, not the entire master-data database.</w:t>
      </w:r>
    </w:p>
    <w:p>
      <w:r>
        <w:t>The hosted pilot verifies Firebase identity and an explicit owner allowlist, and uses Secret Manager for runtime secrets. Managed Vertex AI uses Application Default Credentials for the workspace service identity, a configured owner project/region and the fixed Google API endpoint; usage is charged to that project and its output returns through the same schema, validation and review gates. Claude setup tokens are encrypted application credentials and are passed only to a restricted server-side CLI invocation. ChatGPT transfer removes the local encrypted credentials before hosted import. Access hotfix 00005-zdk passed login, retained-job and sign-out checks; deployment and authenticated verification of the complete feature bundle remain release gates.</w:t>
      </w:r>
    </w:p>
    <w:p>
      <w:r>
        <w:t>For a shared production service, retain these contracts and add role-based access, normalized reference staging, a durable message queue, leased CPU/GPU workers, schema migrations and operational monitoring. The current queue and processing plans remain in memory; drain work before replacing a revision. A relational transaction reserves receipt quantities and records the approved export exactly once. Keep document extraction and unvalidated draft creation outside that transaction. See the cloud runbook for recovery boundaries.</w:t>
      </w:r>
    </w:p>
    <w:p>
      <w:pPr>
        <w:pStyle w:val="Heading2"/>
      </w:pPr>
      <w:r>
        <w:t>Why these components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Job</w:t>
            </w:r>
          </w:p>
        </w:tc>
        <w:tc>
          <w:tcPr>
            <w:tcW w:type="dxa" w:w="2880"/>
          </w:tcPr>
          <w:p>
            <w:r>
              <w:t>Limitation and decision</w:t>
            </w:r>
          </w:p>
        </w:tc>
      </w:tr>
      <w:tr>
        <w:tc>
          <w:tcPr>
            <w:tcW w:type="dxa" w:w="2880"/>
          </w:tcPr>
          <w:p>
            <w:r>
              <w:t>invoice2data</w:t>
            </w:r>
          </w:p>
        </w:tc>
        <w:tc>
          <w:tcPr>
            <w:tcW w:type="dxa" w:w="2880"/>
          </w:tcPr>
          <w:p>
            <w:r>
              <w:t>Repeatable supplier templates and native text extraction</w:t>
            </w:r>
          </w:p>
        </w:tc>
        <w:tc>
          <w:tcPr>
            <w:tcW w:type="dxa" w:w="2880"/>
          </w:tcPr>
          <w:p>
            <w:r>
              <w:t>Best when layout is known; templates require maintenance. Use for predictable, inexpensive reading.</w:t>
            </w:r>
          </w:p>
        </w:tc>
      </w:tr>
      <w:tr>
        <w:tc>
          <w:tcPr>
            <w:tcW w:type="dxa" w:w="2880"/>
          </w:tcPr>
          <w:p>
            <w:r>
              <w:t>PaddleOCR</w:t>
            </w:r>
          </w:p>
        </w:tc>
        <w:tc>
          <w:tcPr>
            <w:tcW w:type="dxa" w:w="2880"/>
          </w:tcPr>
          <w:p>
            <w:r>
              <w:t>Read image words and coordinates for conservative layout conversion</w:t>
            </w:r>
          </w:p>
        </w:tc>
        <w:tc>
          <w:tcPr>
            <w:tcW w:type="dxa" w:w="2880"/>
          </w:tcPr>
          <w:p>
            <w:r>
              <w:t>Three scans recovered every line and tested numeric/identifier fact, but descriptions remain unproven; the conservative all-field floor is 90.91%.</w:t>
            </w:r>
          </w:p>
        </w:tc>
      </w:tr>
      <w:tr>
        <w:tc>
          <w:tcPr>
            <w:tcW w:type="dxa" w:w="2880"/>
          </w:tcPr>
          <w:p>
            <w:r>
              <w:t>Docling</w:t>
            </w:r>
          </w:p>
        </w:tc>
        <w:tc>
          <w:tcPr>
            <w:tcW w:type="dxa" w:w="2880"/>
          </w:tcPr>
          <w:p>
            <w:r>
              <w:t>Convert native document layout and tables into invoice lines</w:t>
            </w:r>
          </w:p>
        </w:tc>
        <w:tc>
          <w:tcPr>
            <w:tcW w:type="dxa" w:w="2880"/>
          </w:tcPr>
          <w:p>
            <w:r>
              <w:t>Bounded native examples worked; a ten-page timeout and three scan failures remain. Do not present it as a universal fallback.</w:t>
            </w:r>
          </w:p>
        </w:tc>
      </w:tr>
      <w:tr>
        <w:tc>
          <w:tcPr>
            <w:tcW w:type="dxa" w:w="2880"/>
          </w:tcPr>
          <w:p>
            <w:r>
              <w:t>Managed Vertex / selected AI</w:t>
            </w:r>
          </w:p>
        </w:tc>
        <w:tc>
          <w:tcPr>
            <w:tcW w:type="dxa" w:w="2880"/>
          </w:tcPr>
          <w:p>
            <w:r>
              <w:t>Recover unfamiliar layouts and propose structured fields</w:t>
            </w:r>
          </w:p>
        </w:tc>
        <w:tc>
          <w:tcPr>
            <w:tcW w:type="dxa" w:w="2880"/>
          </w:tcPr>
          <w:p>
            <w:r>
              <w:t>Model output is untrusted data. Require schema validation, exact reference matching and review; record provider/model, latency, token usage and project cost.</w:t>
            </w:r>
          </w:p>
        </w:tc>
      </w:tr>
      <w:tr>
        <w:tc>
          <w:tcPr>
            <w:tcW w:type="dxa" w:w="2880"/>
          </w:tcPr>
          <w:p>
            <w:r>
              <w:t>Custom validation service</w:t>
            </w:r>
          </w:p>
        </w:tc>
        <w:tc>
          <w:tcPr>
            <w:tcW w:type="dxa" w:w="2880"/>
          </w:tcPr>
          <w:p>
            <w:r>
              <w:t>Supplier/site scope, item identity, receipts, rules and duplicate control</w:t>
            </w:r>
          </w:p>
        </w:tc>
        <w:tc>
          <w:tcPr>
            <w:tcW w:type="dxa" w:w="2880"/>
          </w:tcPr>
          <w:p>
            <w:r>
              <w:t>This is business logic that generic OCR cannot supply. Build and own it.</w:t>
            </w:r>
          </w:p>
        </w:tc>
      </w:tr>
      <w:tr>
        <w:tc>
          <w:tcPr>
            <w:tcW w:type="dxa" w:w="2880"/>
          </w:tcPr>
          <w:p>
            <w:r>
              <w:t>Source evidence lookup</w:t>
            </w:r>
          </w:p>
        </w:tc>
        <w:tc>
          <w:tcPr>
            <w:tcW w:type="dxa" w:w="2880"/>
          </w:tcPr>
          <w:p>
            <w:r>
              <w:t>Search large item and PO extracts without treating them as master approval</w:t>
            </w:r>
          </w:p>
        </w:tc>
        <w:tc>
          <w:tcPr>
            <w:tcW w:type="dxa" w:w="2880"/>
          </w:tcPr>
          <w:p>
            <w:r>
              <w:t>Show conflicts and provenance, then require explicit confirmation; canonical approval remains separate.</w:t>
            </w:r>
          </w:p>
        </w:tc>
      </w:tr>
      <w:tr>
        <w:tc>
          <w:tcPr>
            <w:tcW w:type="dxa" w:w="2880"/>
          </w:tcPr>
          <w:p>
            <w:r>
              <w:t>Custom Excel renderer</w:t>
            </w:r>
          </w:p>
        </w:tc>
        <w:tc>
          <w:tcPr>
            <w:tcW w:type="dxa" w:w="2880"/>
          </w:tcPr>
          <w:p>
            <w:r>
              <w:t>Preserve the receiving workbook contract</w:t>
            </w:r>
          </w:p>
        </w:tc>
        <w:tc>
          <w:tcPr>
            <w:tcW w:type="dxa" w:w="2880"/>
          </w:tcPr>
          <w:p>
            <w:r>
              <w:t>Generate typed cells from validated records or an explicitly labelled manual draft; do not let AI write arbitrary workbook formulas.</w:t>
            </w:r>
          </w:p>
        </w:tc>
      </w:tr>
    </w:tbl>
    <w:p>
      <w:r>
        <w:t>The local engines are alternatives in an ordered pipeline, not three votes on truth. The application keeps one reader's candidate rather than silently combining conflicting values. Native layout rules require explicit visible evidence, preserve printed line net/tax separately from printed unit price, leave conflicts and ambiguous dates unset, and never derive header totals or internal codes from arithmetic. A completeness score is read coverage, not a calibrated probability of correctness.</w:t>
      </w:r>
    </w:p>
    <w:p>
      <w:r>
        <w:t>Audit outcomes use text_read, fields_extracted and extraction_failed. The older extracted event is displayed only as “Reader run finished (legacy event)” because it does not prove that structured fields were produced.</w:t>
      </w:r>
    </w:p>
    <w:p>
      <w:pPr>
        <w:pStyle w:val="Heading2"/>
      </w:pPr>
      <w:r>
        <w:t>Supplier and company model for the wider product</w:t>
      </w:r>
    </w:p>
    <w:p>
      <w:r>
        <w:t>A supplier legal entity is separate from its operational sites. An approved route connects a supplier site, buying legal entity, ship-from market, delivery market and invoice currency. A UAE supplier invoicing in AED for Kuwait delivery is therefore a different route from domestic UAE supply, even when the seller and currency are unchanged. An existing supplier name alone does not authorize that route.</w:t>
      </w:r>
    </w:p>
    <w:p>
      <w:r>
        <w:t>Items have internal identities, supplier-specific codes, GTINs, packaging and units. Digital-channel content should be versioned separately from purchasing identity: titles, translations, images, ingredients, attributes and channel requirements can change without changing the invoice matching key. Item discovery and fuzzy similarity can propose a match; a steward must approve an ambiguous identifier or unit conversion.</w:t>
      </w:r>
    </w:p>
    <w:p>
      <w:r>
        <w:t>For a new store in an existing market, search approved routes and assortment coverage first. For a new market, generate a discovery and qualification case: candidate suppliers, local entity/site checks, delivery capability, documentation and commercial review. Reuse verified facts with expiry dates and provenance; do not repeat every task or assume an approval transfers across markets. AI can assemble a shortlist and highlight gaps; procurement owns approval.</w:t>
      </w:r>
    </w:p>
    <w:p>
      <w:pPr>
        <w:pStyle w:val="Heading2"/>
      </w:pPr>
      <w:r>
        <w:t>Proposed 24-flow product map</w:t>
      </w:r>
    </w:p>
    <w:p>
      <w:r>
        <w:t>These are proposed coverage areas, not a claim that all earlier source processes have been implemented or independently verified.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Discover and approve</w:t>
            </w:r>
          </w:p>
        </w:tc>
        <w:tc>
          <w:tcPr>
            <w:tcW w:type="dxa" w:w="2160"/>
          </w:tcPr>
          <w:p>
            <w:r>
              <w:t>Prepare and buy</w:t>
            </w:r>
          </w:p>
        </w:tc>
        <w:tc>
          <w:tcPr>
            <w:tcW w:type="dxa" w:w="2160"/>
          </w:tcPr>
          <w:p>
            <w:r>
              <w:t>Receive and pay</w:t>
            </w:r>
          </w:p>
        </w:tc>
        <w:tc>
          <w:tcPr>
            <w:tcW w:type="dxa" w:w="2160"/>
          </w:tcPr>
          <w:p>
            <w:r>
              <w:t>Improve and govern</w:t>
            </w:r>
          </w:p>
        </w:tc>
      </w:tr>
      <w:tr>
        <w:tc>
          <w:tcPr>
            <w:tcW w:type="dxa" w:w="2160"/>
          </w:tcPr>
          <w:p>
            <w:r>
              <w:t>1. Store/market demand</w:t>
            </w:r>
          </w:p>
        </w:tc>
        <w:tc>
          <w:tcPr>
            <w:tcW w:type="dxa" w:w="2160"/>
          </w:tcPr>
          <w:p>
            <w:r>
              <w:t>7. Supplier item intake</w:t>
            </w:r>
          </w:p>
        </w:tc>
        <w:tc>
          <w:tcPr>
            <w:tcW w:type="dxa" w:w="2160"/>
          </w:tcPr>
          <w:p>
            <w:r>
              <w:t>13. Delivery evidence</w:t>
            </w:r>
          </w:p>
        </w:tc>
        <w:tc>
          <w:tcPr>
            <w:tcW w:type="dxa" w:w="2160"/>
          </w:tcPr>
          <w:p>
            <w:r>
              <w:t>19. Supplier performance</w:t>
            </w:r>
          </w:p>
        </w:tc>
      </w:tr>
      <w:tr>
        <w:tc>
          <w:tcPr>
            <w:tcW w:type="dxa" w:w="2160"/>
          </w:tcPr>
          <w:p>
            <w:r>
              <w:t>2. Existing coverage search</w:t>
            </w:r>
          </w:p>
        </w:tc>
        <w:tc>
          <w:tcPr>
            <w:tcW w:type="dxa" w:w="2160"/>
          </w:tcPr>
          <w:p>
            <w:r>
              <w:t>8. Item identity resolution</w:t>
            </w:r>
          </w:p>
        </w:tc>
        <w:tc>
          <w:tcPr>
            <w:tcW w:type="dxa" w:w="2160"/>
          </w:tcPr>
          <w:p>
            <w:r>
              <w:t>14. Receipt acceptance/returns</w:t>
            </w:r>
          </w:p>
        </w:tc>
        <w:tc>
          <w:tcPr>
            <w:tcW w:type="dxa" w:w="2160"/>
          </w:tcPr>
          <w:p>
            <w:r>
              <w:t>20. Expiring document renewal</w:t>
            </w:r>
          </w:p>
        </w:tc>
      </w:tr>
      <w:tr>
        <w:tc>
          <w:tcPr>
            <w:tcW w:type="dxa" w:w="2160"/>
          </w:tcPr>
          <w:p>
            <w:r>
              <w:t>3. Candidate discovery</w:t>
            </w:r>
          </w:p>
        </w:tc>
        <w:tc>
          <w:tcPr>
            <w:tcW w:type="dxa" w:w="2160"/>
          </w:tcPr>
          <w:p>
            <w:r>
              <w:t>9. Packaging/unit approval</w:t>
            </w:r>
          </w:p>
        </w:tc>
        <w:tc>
          <w:tcPr>
            <w:tcW w:type="dxa" w:w="2160"/>
          </w:tcPr>
          <w:p>
            <w:r>
              <w:t>15. Invoice capture</w:t>
            </w:r>
          </w:p>
        </w:tc>
        <w:tc>
          <w:tcPr>
            <w:tcW w:type="dxa" w:w="2160"/>
          </w:tcPr>
          <w:p>
            <w:r>
              <w:t>21. Reference stewardship</w:t>
            </w:r>
          </w:p>
        </w:tc>
      </w:tr>
      <w:tr>
        <w:tc>
          <w:tcPr>
            <w:tcW w:type="dxa" w:w="2160"/>
          </w:tcPr>
          <w:p>
            <w:r>
              <w:t>4. Legal entity/site onboarding</w:t>
            </w:r>
          </w:p>
        </w:tc>
        <w:tc>
          <w:tcPr>
            <w:tcW w:type="dxa" w:w="2160"/>
          </w:tcPr>
          <w:p>
            <w:r>
              <w:t>10. Digital content enrichment</w:t>
            </w:r>
          </w:p>
        </w:tc>
        <w:tc>
          <w:tcPr>
            <w:tcW w:type="dxa" w:w="2160"/>
          </w:tcPr>
          <w:p>
            <w:r>
              <w:t>16. PO/item/receipt matching</w:t>
            </w:r>
          </w:p>
        </w:tc>
        <w:tc>
          <w:tcPr>
            <w:tcW w:type="dxa" w:w="2160"/>
          </w:tcPr>
          <w:p>
            <w:r>
              <w:t>22. Exception analytics</w:t>
            </w:r>
          </w:p>
        </w:tc>
      </w:tr>
      <w:tr>
        <w:tc>
          <w:tcPr>
            <w:tcW w:type="dxa" w:w="2160"/>
          </w:tcPr>
          <w:p>
            <w:r>
              <w:t>5. Market/route qualification</w:t>
            </w:r>
          </w:p>
        </w:tc>
        <w:tc>
          <w:tcPr>
            <w:tcW w:type="dxa" w:w="2160"/>
          </w:tcPr>
          <w:p>
            <w:r>
              <w:t>11. Quote/price agreement</w:t>
            </w:r>
          </w:p>
        </w:tc>
        <w:tc>
          <w:tcPr>
            <w:tcW w:type="dxa" w:w="2160"/>
          </w:tcPr>
          <w:p>
            <w:r>
              <w:t>17. Dispute resolution</w:t>
            </w:r>
          </w:p>
        </w:tc>
        <w:tc>
          <w:tcPr>
            <w:tcW w:type="dxa" w:w="2160"/>
          </w:tcPr>
          <w:p>
            <w:r>
              <w:t>23. Access/audit management</w:t>
            </w:r>
          </w:p>
        </w:tc>
      </w:tr>
      <w:tr>
        <w:tc>
          <w:tcPr>
            <w:tcW w:type="dxa" w:w="2160"/>
          </w:tcPr>
          <w:p>
            <w:r>
              <w:t>6. Approval/renewal</w:t>
            </w:r>
          </w:p>
        </w:tc>
        <w:tc>
          <w:tcPr>
            <w:tcW w:type="dxa" w:w="2160"/>
          </w:tcPr>
          <w:p>
            <w:r>
              <w:t>12. PO creation/change</w:t>
            </w:r>
          </w:p>
        </w:tc>
        <w:tc>
          <w:tcPr>
            <w:tcW w:type="dxa" w:w="2160"/>
          </w:tcPr>
          <w:p>
            <w:r>
              <w:t>18. Excel/export/payment handoff</w:t>
            </w:r>
          </w:p>
        </w:tc>
        <w:tc>
          <w:tcPr>
            <w:tcW w:type="dxa" w:w="2160"/>
          </w:tcPr>
          <w:p>
            <w:r>
              <w:t>24. Rule and model evaluation</w:t>
            </w:r>
          </w:p>
        </w:tc>
      </w:tr>
    </w:tbl>
    <w:p>
      <w:pPr>
        <w:pStyle w:val="Heading2"/>
      </w:pPr>
      <w:r>
        <w:t>Delivery plan and people</w:t>
      </w:r>
    </w:p>
    <w:p>
      <w:r>
        <w:t>The estimates below are planning ranges, not measured delivery commitments. They assume reference owners are available and the first production scope stays with one invoice, one PO, one currency and one tax treatment per file.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Outcome and exit evidence</w:t>
            </w:r>
          </w:p>
        </w:tc>
        <w:tc>
          <w:tcPr>
            <w:tcW w:type="dxa" w:w="2880"/>
          </w:tcPr>
          <w:p>
            <w:r>
              <w:t>Indicative duration</w:t>
            </w:r>
          </w:p>
        </w:tc>
      </w:tr>
      <w:tr>
        <w:tc>
          <w:tcPr>
            <w:tcW w:type="dxa" w:w="2880"/>
          </w:tcPr>
          <w:p>
            <w:r>
              <w:t>Current source candidate</w:t>
            </w:r>
          </w:p>
        </w:tc>
        <w:tc>
          <w:tcPr>
            <w:tcW w:type="dxa" w:w="2880"/>
          </w:tcPr>
          <w:p>
            <w:r>
              <w:t>Real UI, visible stages, lookup, draft and connection-transfer paths</w:t>
            </w:r>
          </w:p>
        </w:tc>
        <w:tc>
          <w:tcPr>
            <w:tcW w:type="dxa" w:w="2880"/>
          </w:tcPr>
          <w:p>
            <w:r>
              <w:t>Integrated release validation pending</w:t>
            </w:r>
          </w:p>
        </w:tc>
      </w:tr>
      <w:tr>
        <w:tc>
          <w:tcPr>
            <w:tcW w:type="dxa" w:w="2880"/>
          </w:tcPr>
          <w:p>
            <w:r>
              <w:t>Hosted pilot baseline</w:t>
            </w:r>
          </w:p>
        </w:tc>
        <w:tc>
          <w:tcPr>
            <w:tcW w:type="dxa" w:w="2880"/>
          </w:tcPr>
          <w:p>
            <w:r>
              <w:t>Earlier three-reader and exact-batch synthetic workflow; persisted evidence recovered after instance replacement</w:t>
            </w:r>
          </w:p>
        </w:tc>
        <w:tc>
          <w:tcPr>
            <w:tcW w:type="dxa" w:w="2880"/>
          </w:tcPr>
          <w:p>
            <w:r>
              <w:t>Deployed baseline; current source changes not yet deployed</w:t>
            </w:r>
          </w:p>
        </w:tc>
      </w:tr>
      <w:tr>
        <w:tc>
          <w:tcPr>
            <w:tcW w:type="dxa" w:w="2880"/>
          </w:tcPr>
          <w:p>
            <w:r>
              <w:t>Data contract pilot</w:t>
            </w:r>
          </w:p>
        </w:tc>
        <w:tc>
          <w:tcPr>
            <w:tcW w:type="dxa" w:w="2880"/>
          </w:tcPr>
          <w:p>
            <w:r>
              <w:t>Full source profiles, explicit mappings, approved missing values, target workbook accepted</w:t>
            </w:r>
          </w:p>
        </w:tc>
        <w:tc>
          <w:tcPr>
            <w:tcW w:type="dxa" w:w="2880"/>
          </w:tcPr>
          <w:p>
            <w:r>
              <w:t>1–2 weeks</w:t>
            </w:r>
          </w:p>
        </w:tc>
      </w:tr>
      <w:tr>
        <w:tc>
          <w:tcPr>
            <w:tcW w:type="dxa" w:w="2880"/>
          </w:tcPr>
          <w:p>
            <w:r>
              <w:t>Supplier evaluation</w:t>
            </w:r>
          </w:p>
        </w:tc>
        <w:tc>
          <w:tcPr>
            <w:tcW w:type="dxa" w:w="2880"/>
          </w:tcPr>
          <w:p>
            <w:r>
              <w:t>At least 100 representative invoices across priority suppliers/languages; adjudicated field and line truth</w:t>
            </w:r>
          </w:p>
        </w:tc>
        <w:tc>
          <w:tcPr>
            <w:tcW w:type="dxa" w:w="2880"/>
          </w:tcPr>
          <w:p>
            <w:r>
              <w:t>2–3 weeks</w:t>
            </w:r>
          </w:p>
        </w:tc>
      </w:tr>
      <w:tr>
        <w:tc>
          <w:tcPr>
            <w:tcW w:type="dxa" w:w="2880"/>
          </w:tcPr>
          <w:p>
            <w:r>
              <w:t>Production pilot</w:t>
            </w:r>
          </w:p>
        </w:tc>
        <w:tc>
          <w:tcPr>
            <w:tcW w:type="dxa" w:w="2880"/>
          </w:tcPr>
          <w:p>
            <w:r>
              <w:t>Roles, durable queue, backups, monitoring, controlled UAT and measured savings</w:t>
            </w:r>
          </w:p>
        </w:tc>
        <w:tc>
          <w:tcPr>
            <w:tcW w:type="dxa" w:w="2880"/>
          </w:tcPr>
          <w:p>
            <w:r>
              <w:t>3–5 weeks</w:t>
            </w:r>
          </w:p>
        </w:tc>
      </w:tr>
      <w:tr>
        <w:tc>
          <w:tcPr>
            <w:tcW w:type="dxa" w:w="2880"/>
          </w:tcPr>
          <w:p>
            <w:r>
              <w:t>Supplier platform expansion</w:t>
            </w:r>
          </w:p>
        </w:tc>
        <w:tc>
          <w:tcPr>
            <w:tcW w:type="dxa" w:w="2880"/>
          </w:tcPr>
          <w:p>
            <w:r>
              <w:t>Discovery, route onboarding, item intake and channel-content workflows</w:t>
            </w:r>
          </w:p>
        </w:tc>
        <w:tc>
          <w:tcPr>
            <w:tcW w:type="dxa" w:w="2880"/>
          </w:tcPr>
          <w:p>
            <w:r>
              <w:t>Scope and estimate after invoice pilot</w:t>
            </w:r>
          </w:p>
        </w:tc>
      </w:tr>
    </w:tbl>
    <w:p>
      <w:r>
        <w:t>A practical pilot team is one product/process owner, one AP expert, a reference-data steward, two engineers, and part-time QA/platform support. AI/ML expertise helps with evaluation and difficult layouts; a bespoke model-training team is not the initial dependency. These roles may overlap, but the people who approve reference meanings must be named.</w:t>
      </w:r>
    </w:p>
    <w:p>
      <w:r>
        <w:t>Size using measured pages and latency: required worker-hours = documents × average processing seconds ÷ 3,600. Add headroom for retries and model download/startup. AI cost = fallback documents × measured average input/output token cost. Keep an explicit monthly cap and record fallback share, tokens and latency. No universal accuracy or cost claim is made before the representative evaluation.</w:t>
      </w:r>
    </w:p>
    <w:p>
      <w:r>
        <w:t>Private measurements establish bounded behavior, not population-wide quality. Native PDF table extraction with AI off recovered 570/570 lines and 3,990/3,990 tested line facts across 15 PDFs from one layout family; the first batch took 24.6 seconds total and a warm batch 12.9 seconds total. Paddle recovered 6/6 scan lines and 60/60 tested header/identifier/numeric facts, while description accuracy remains unproven; the conservative 60/66 floor is 90.91%. Docling recovered 5/5, 1/1 and 17/17 native lines in bounded examples, but a ten-page run exceeded 528 seconds and three scans returned no reliable lines after 103–170 seconds. The managed Vertex run returned all source-tested fields exactly across 15 documents and 570 lines from the same layout family. These cohorts cannot prove the expected 95% across suppliers, scans, languages and lengths.</w:t>
      </w:r>
    </w:p>
    <w:p>
      <w:r>
        <w:t>Managed Vertex used 36,450 input tokens and 91,892 output tokens including reasoning across 15 successful calls. At the current global introductory Gemini 3.7 Flash rates through 31 December 2026, calculated model usage is USD 0.3719325, or USD 24.7955 per 1,000 documents at the same mix. This is not an actual bill and excludes retries and infrastructure. See Google's Agent Platform pricing.</w:t>
      </w:r>
    </w:p>
    <w:p>
      <w:pPr>
        <w:pStyle w:val="Heading2"/>
      </w:pPr>
      <w:r>
        <w:t>How the proposed 90% target will be evaluated</w:t>
      </w:r>
    </w:p>
    <w:p>
      <w:r>
        <w:t>Freeze a gold set before tuning. A reviewer transcribes every expected header field and line cell, a second reviewer checks it against the source, and disagreements are adjudicated. Include expected missing values as explicit null, then hold the set out from template, prompt and model changes. Stratify results by supplier, native text versus scan, language, page-count band and document quality; preserve enough cases in each agreed stratum to expose a weak subgroup.</w:t>
      </w:r>
    </w:p>
    <w:p>
      <w:r>
        <w:t>Report three measures separately:</w:t>
      </w:r>
    </w:p>
    <w:p>
      <w:r>
        <w:t>1. Header-field exact accuracy: correct header cells divided by all gold header cells, including expected-null cells. Apply only contract-defined normalization such as ISO dates, Decimal representation and whitespace; do not use fuzzy credit for the wrong identifier.</w:t>
      </w:r>
    </w:p>
    <w:p>
      <w:r>
        <w:t>2. Line extraction accuracy: first align predicted and gold lines by adjudicated document order/evidence, then report line recall and exact cell accuracy across item identifiers, description, quantity, unit, price and evidence page. Missing, extra and misaligned lines count as errors.</w:t>
      </w:r>
    </w:p>
    <w:p>
      <w:r>
        <w:t>3. Zero-correction invoice rate: invoices for which the reviewer changes no extracted header or line value divided by every attempted invoice.</w:t>
      </w:r>
    </w:p>
    <w:p>
      <w:r>
        <w:t>Errors, timeouts, rejected schemas and empty outputs remain in every denominator and score zero for the affected invoice. Arithmetic reconciliation, schema validity and completeness are reported as diagnostics, not accuracy. The proposed pilot gate is at least 90% header-field exact accuracy, 90% line-cell exact accuracy and 90% zero-correction invoices, with zero false-ready approved invoices. Each agreed supplier/language/scan stratum must also meet the owner-set minimum before release; an aggregate score cannot hide a failing subgroup. Record confidence intervals, correction reasons, provider/model/revision, latency, tokens and cost. A controlled reviewer signs the frozen comparison and finance/data owners decide whether failures require rule changes, supplier-specific templates or continued manual handling. These are acceptance targets, not achieved results.</w:t>
      </w:r>
    </w:p>
    <w:p>
      <w:pPr>
        <w:pStyle w:val="Heading2"/>
      </w:pPr>
      <w:r>
        <w:t>Decisions to settle during the pilot</w:t>
      </w:r>
    </w:p>
    <w:p>
      <w:r>
        <w:t>1. Which source field proves receipt acceptance, and which represents cumulative already-invoiced quantity outside this application?</w:t>
      </w:r>
    </w:p>
    <w:p>
      <w:r>
        <w:t>2. Which entity owns each buying company, supplier site, market route and tax rule?</w:t>
      </w:r>
    </w:p>
    <w:p>
      <w:r>
        <w:t>3. Which invoice formats, languages and edge cases are in the initial business acceptance set?</w:t>
      </w:r>
    </w:p>
    <w:p>
      <w:r>
        <w:t>4. Which provider/account may receive invoice content, and what retention and budget settings apply?</w:t>
      </w:r>
    </w:p>
    <w:p>
      <w:r>
        <w:t>5. Who signs off the generated workbook against the receiving process?</w:t>
      </w:r>
    </w:p>
    <w:p>
      <w:r>
        <w:t>These are business-data decisions. They do not prevent local reading or a synthetic demonstration; they prevent claiming that a real invoice is ready when evidence is absent.</w:t>
      </w:r>
    </w:p>
    <w:p>
      <w:pPr>
        <w:pStyle w:val="Heading2"/>
      </w:pPr>
      <w:r>
        <w:t>Source references</w:t>
      </w:r>
    </w:p>
    <w:p>
      <w:r>
        <w:t>Implementation choices should be rechecked when dependencies or provider interfaces change. Primary sources used for this build:</w:t>
      </w:r>
    </w:p>
    <w:p>
      <w:pPr>
        <w:pStyle w:val="ListBullet"/>
      </w:pPr>
      <w:r>
        <w:t>invoice2data code and templates.</w:t>
      </w:r>
    </w:p>
    <w:p>
      <w:pPr>
        <w:pStyle w:val="ListBullet"/>
      </w:pPr>
      <w:r>
        <w:t>PaddleOCR code and model documentation.</w:t>
      </w:r>
    </w:p>
    <w:p>
      <w:pPr>
        <w:pStyle w:val="ListBullet"/>
      </w:pPr>
      <w:r>
        <w:t>Docling code and supported conversion workflow.</w:t>
      </w:r>
    </w:p>
    <w:p>
      <w:pPr>
        <w:pStyle w:val="ListBullet"/>
      </w:pPr>
      <w:r>
        <w:t>Vertex AI Gemini model guide, structured output and Application Default Credentials.</w:t>
      </w:r>
    </w:p>
    <w:p>
      <w:pPr>
        <w:pStyle w:val="ListBullet"/>
      </w:pPr>
      <w:r>
        <w:t>OpenAI structured outputs and file inputs.</w:t>
      </w:r>
    </w:p>
    <w:p>
      <w:pPr>
        <w:pStyle w:val="ListBullet"/>
      </w:pPr>
      <w:r>
        <w:t>Official ChatGPT token sharing for open-source/local applications.</w:t>
      </w:r>
    </w:p>
    <w:p>
      <w:pPr>
        <w:pStyle w:val="ListBullet"/>
      </w:pPr>
      <w:r>
        <w:t>Anthropic structured outputs and PDF support.</w:t>
      </w:r>
    </w:p>
    <w:p>
      <w:pPr>
        <w:pStyle w:val="ListBullet"/>
      </w:pPr>
      <w:r>
        <w:t>Claude CLI reference and Claude-plan SDK policy. Account availability and provider policy must be checked at connection time.</w:t>
      </w:r>
    </w:p>
    <w:p>
      <w:r>
        <w:br w:type="page"/>
      </w:r>
    </w:p>
    <w:p>
      <w:pPr>
        <w:pStyle w:val="Heading1"/>
      </w:pPr>
      <w:r>
        <w:t>Reference data and Excel contract</w:t>
      </w:r>
    </w:p>
    <w:p>
      <w:pPr>
        <w:pStyle w:val="Heading2"/>
      </w:pPr>
      <w:r>
        <w:t>Keep three types of data separate</w:t>
      </w:r>
    </w:p>
    <w:p>
      <w:r>
        <w:t>An invoice states what the supplier is charging. Reference data identifies approved suppliers, items, orders and accepted receipts. The target workbook is the output format. A completed target workbook is valuable for checking columns and types, but it does not prove supplier approval, a purchase order balance or receipt acceptance.</w:t>
      </w:r>
    </w:p>
    <w:p>
      <w:r>
        <w:t>Identifiers are stored as strings, preserving leading zeros. Strip surrounding Unicode whitespace; do not remove internal characters or coerce identifiers through floating-point numbers. Money and quantities use decimal arithmetic. Dates must resolve to ISO YYYY-MM-DD before export. Ambiguous dates need review.</w:t>
      </w:r>
    </w:p>
    <w:p>
      <w:pPr>
        <w:pStyle w:val="Heading2"/>
      </w:pPr>
      <w:r>
        <w:t>Canonical reference import</w:t>
      </w:r>
    </w:p>
    <w:p>
      <w:r>
        <w:t>Download the populated synthetic template, replace its contents with approved records, and retain its exact headers. JSON equivalents use the keys below. ODS uses the same seven sheet names. Imports validate joins and duplicate keys before replacing the active snapshot. Changing a snapshot invalidates all unexported reviews and pending processing plans.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Sheet / JSON key</w:t>
            </w:r>
          </w:p>
        </w:tc>
        <w:tc>
          <w:tcPr>
            <w:tcW w:type="dxa" w:w="2880"/>
          </w:tcPr>
          <w:p>
            <w:r>
              <w:t>Required columns</w:t>
            </w:r>
          </w:p>
        </w:tc>
        <w:tc>
          <w:tcPr>
            <w:tcW w:type="dxa" w:w="2880"/>
          </w:tcPr>
          <w:p>
            <w:r>
              <w:t>Meaning</w:t>
            </w:r>
          </w:p>
        </w:tc>
      </w:tr>
      <w:tr>
        <w:tc>
          <w:tcPr>
            <w:tcW w:type="dxa" w:w="2880"/>
          </w:tcPr>
          <w:p>
            <w:r>
              <w:t>Suppliers / sites</w:t>
            </w:r>
          </w:p>
        </w:tc>
        <w:tc>
          <w:tcPr>
            <w:tcW w:type="dxa" w:w="2880"/>
          </w:tcPr>
          <w:p>
            <w:r>
              <w:t>id, seller, name, country</w:t>
            </w:r>
          </w:p>
        </w:tc>
        <w:tc>
          <w:tcPr>
            <w:tcW w:type="dxa" w:w="2880"/>
          </w:tcPr>
          <w:p>
            <w:r>
              <w:t>Operational site ID, supplier legal entity ID, approved invoice-facing name, country</w:t>
            </w:r>
          </w:p>
        </w:tc>
      </w:tr>
      <w:tr>
        <w:tc>
          <w:tcPr>
            <w:tcW w:type="dxa" w:w="2880"/>
          </w:tcPr>
          <w:p>
            <w:r>
              <w:t>Routes / routes</w:t>
            </w:r>
          </w:p>
        </w:tc>
        <w:tc>
          <w:tcPr>
            <w:tcW w:type="dxa" w:w="2880"/>
          </w:tcPr>
          <w:p>
            <w:r>
              <w:t>site, buyer, origin, market, currency, status</w:t>
            </w:r>
          </w:p>
        </w:tc>
        <w:tc>
          <w:tcPr>
            <w:tcW w:type="dxa" w:w="2880"/>
          </w:tcPr>
          <w:p>
            <w:r>
              <w:t>Full commercial route; only approved is usable</w:t>
            </w:r>
          </w:p>
        </w:tc>
      </w:tr>
      <w:tr>
        <w:tc>
          <w:tcPr>
            <w:tcW w:type="dxa" w:w="2880"/>
          </w:tcPr>
          <w:p>
            <w:r>
              <w:t>Items / items</w:t>
            </w:r>
          </w:p>
        </w:tc>
        <w:tc>
          <w:tcPr>
            <w:tcW w:type="dxa" w:w="2880"/>
          </w:tcPr>
          <w:p>
            <w:r>
              <w:t>id, site, sku, gtin, uom</w:t>
            </w:r>
          </w:p>
        </w:tc>
        <w:tc>
          <w:tcPr>
            <w:tcW w:type="dxa" w:w="2880"/>
          </w:tcPr>
          <w:p>
            <w:r>
              <w:t>Internal item, supplier-site item code, optional barcode, purchasing unit</w:t>
            </w:r>
          </w:p>
        </w:tc>
      </w:tr>
      <w:tr>
        <w:tc>
          <w:tcPr>
            <w:tcW w:type="dxa" w:w="2880"/>
          </w:tcPr>
          <w:p>
            <w:r>
              <w:t>POs / orders</w:t>
            </w:r>
          </w:p>
        </w:tc>
        <w:tc>
          <w:tcPr>
            <w:tcW w:type="dxa" w:w="2880"/>
          </w:tcPr>
          <w:p>
            <w:r>
              <w:t>id, site, buyer, origin, market, currency, location, location_type, status</w:t>
            </w:r>
          </w:p>
        </w:tc>
        <w:tc>
          <w:tcPr>
            <w:tcW w:type="dxa" w:w="2880"/>
          </w:tcPr>
          <w:p>
            <w:r>
              <w:t>Exact PO scope; status open; location type Store (S) or Warehouse (W)</w:t>
            </w:r>
          </w:p>
        </w:tc>
      </w:tr>
      <w:tr>
        <w:tc>
          <w:tcPr>
            <w:tcW w:type="dxa" w:w="2880"/>
          </w:tcPr>
          <w:p>
            <w:r>
              <w:t>POLines / nested orders.lines</w:t>
            </w:r>
          </w:p>
        </w:tc>
        <w:tc>
          <w:tcPr>
            <w:tcW w:type="dxa" w:w="2880"/>
          </w:tcPr>
          <w:p>
            <w:r>
              <w:t>po, id, item, ordered, invoiced, price, uom</w:t>
            </w:r>
          </w:p>
        </w:tc>
        <w:tc>
          <w:tcPr>
            <w:tcW w:type="dxa" w:w="2880"/>
          </w:tcPr>
          <w:p>
            <w:r>
              <w:t>Ordered quantity; external baseline already invoiced; approved unit cost</w:t>
            </w:r>
          </w:p>
        </w:tc>
      </w:tr>
      <w:tr>
        <w:tc>
          <w:tcPr>
            <w:tcW w:type="dxa" w:w="2880"/>
          </w:tcPr>
          <w:p>
            <w:r>
              <w:t>Receipts / receipts</w:t>
            </w:r>
          </w:p>
        </w:tc>
        <w:tc>
          <w:tcPr>
            <w:tcW w:type="dxa" w:w="2880"/>
          </w:tcPr>
          <w:p>
            <w:r>
              <w:t>id, po, line, qty, status</w:t>
            </w:r>
          </w:p>
        </w:tc>
        <w:tc>
          <w:tcPr>
            <w:tcW w:type="dxa" w:w="2880"/>
          </w:tcPr>
          <w:p>
            <w:r>
              <w:t>Receipt line, exact PO line; status accepted/pending/rejected</w:t>
            </w:r>
          </w:p>
        </w:tc>
      </w:tr>
      <w:tr>
        <w:tc>
          <w:tcPr>
            <w:tcW w:type="dxa" w:w="2880"/>
          </w:tcPr>
          <w:p>
            <w:r>
              <w:t>TaxRules / taxRules</w:t>
            </w:r>
          </w:p>
        </w:tc>
        <w:tc>
          <w:tcPr>
            <w:tcW w:type="dxa" w:w="2880"/>
          </w:tcPr>
          <w:p>
            <w:r>
              <w:t>origin, market, currency, code, rate</w:t>
            </w:r>
          </w:p>
        </w:tc>
        <w:tc>
          <w:tcPr>
            <w:tcW w:type="dxa" w:w="2880"/>
          </w:tcPr>
          <w:p>
            <w:r>
              <w:t>Explicit approved tax treatment; rate is a fraction such as 0.05</w:t>
            </w:r>
          </w:p>
        </w:tc>
      </w:tr>
    </w:tbl>
    <w:p>
      <w:r>
        <w:t>In JSON, PO lines are nested under each order and omit po. Supplier aliases may be a list of approved alternative names. A supplier name mismatch is a hold; the name is not silently ignored because an AI model found a PO number.</w:t>
      </w:r>
    </w:p>
    <w:p>
      <w:r>
        <w:t>An accepted negative receipt represents a return. Available receipt balance = sum of accepted receipt quantities − external already-invoiced baseline − quantities allocated by this installation. The baseline must exclude this installation's exports to avoid double-counting. This model assumes an approved snapshot and does not invent a settlement history from receipt rows.</w:t>
      </w:r>
    </w:p>
    <w:p>
      <w:r>
        <w:t>PO location type is explicit. Prefixes such as 900 do not prove warehouse versus store. Same-name suppliers in different companies or sites are not interchangeable. Currency equality does not prove domestic supply. A missing GTIN can remain blank when an exact supplier-site SKU maps uniquely to an internal item; conflicting SKU/GTIN identity is held.</w:t>
      </w:r>
    </w:p>
    <w:p>
      <w:pPr>
        <w:pStyle w:val="Heading2"/>
      </w:pPr>
      <w:r>
        <w:t>Large source extracts</w:t>
      </w:r>
    </w:p>
    <w:p>
      <w:r>
        <w:t>Keep original files immutable, compute a SHA-256 hash, inspect every populated cell and build a profile with source sheet/row/column provenance. Map fields into a staging model before proposing a canonical snapshot. Report duplicates, one-to-many joins, missing internal scope, formula/cached-value differences and date/identifier conversion risks.</w:t>
      </w:r>
    </w:p>
    <w:p>
      <w:r>
        <w:t>Do not resolve conflicting item records with “first row wins.” Do not treat repeated receipt rows as new goods without proving the row grain. Do not substitute ordered quantity for accepted quantity. A source value called received or shipped still needs its business definition confirmed. Missing company, approval, currency or tax values stay unresolved until the data owner supplies the rule.</w:t>
      </w:r>
    </w:p>
    <w:p>
      <w:r>
        <w:t>The portal's canonical import is deliberately bounded (12 MB compressed, 30 MB expanded, 50,000 rows per worksheet). Large raw extracts are handled by separate private staging/profiling. They are not silently truncated or uploaded to AI. A scalable source adapter is a distinct integration step with its own approval and regression tests.</w:t>
      </w:r>
    </w:p>
    <w:p>
      <w:pPr>
        <w:pStyle w:val="Heading2"/>
      </w:pPr>
      <w:r>
        <w:t>Exact output</w:t>
      </w:r>
    </w:p>
    <w:tbl>
      <w:tblPr>
        <w:tblStyle w:val="LightShading-Accent1"/>
        <w:tblW w:type="auto" w:w="0"/>
        <w:tblLook w:firstColumn="1" w:firstRow="1" w:lastColumn="0" w:lastRow="0" w:noHBand="0" w:noVBand="1" w:val="04A0"/>
      </w:tblPr>
      <w:tblGrid>
        <w:gridCol w:w="4320"/>
        <w:gridCol w:w="4320"/>
      </w:tblGrid>
      <w:tr>
        <w:tc>
          <w:tcPr>
            <w:tcW w:type="dxa" w:w="4320"/>
          </w:tcPr>
          <w:p>
            <w:r>
              <w:t>Sheet</w:t>
            </w:r>
          </w:p>
        </w:tc>
        <w:tc>
          <w:tcPr>
            <w:tcW w:type="dxa" w:w="4320"/>
          </w:tcPr>
          <w:p>
            <w:r>
              <w:t>Columns, in order</w:t>
            </w:r>
          </w:p>
        </w:tc>
      </w:tr>
      <w:tr>
        <w:tc>
          <w:tcPr>
            <w:tcW w:type="dxa" w:w="4320"/>
          </w:tcPr>
          <w:p>
            <w:r>
              <w:t>Header</w:t>
            </w:r>
          </w:p>
        </w:tc>
        <w:tc>
          <w:tcPr>
            <w:tcW w:type="dxa" w:w="4320"/>
          </w:tcPr>
          <w:p>
            <w:r>
              <w:t>TransactionNumber, Document, SupplierSite, OrderNo, Location, LocationType, DocumentDate, TotalCostExTax, TaxAmount, Ref1, Ref2, Ref3, Comment</w:t>
            </w:r>
          </w:p>
        </w:tc>
      </w:tr>
      <w:tr>
        <w:tc>
          <w:tcPr>
            <w:tcW w:type="dxa" w:w="4320"/>
          </w:tcPr>
          <w:p>
            <w:r>
              <w:t>Tax_Breakdown</w:t>
            </w:r>
          </w:p>
        </w:tc>
        <w:tc>
          <w:tcPr>
            <w:tcW w:type="dxa" w:w="4320"/>
          </w:tcPr>
          <w:p>
            <w:r>
              <w:t>TransactionNumber, TaxCode, TaxBasis</w:t>
            </w:r>
          </w:p>
        </w:tc>
      </w:tr>
      <w:tr>
        <w:tc>
          <w:tcPr>
            <w:tcW w:type="dxa" w:w="4320"/>
          </w:tcPr>
          <w:p>
            <w:r>
              <w:t>Details</w:t>
            </w:r>
          </w:p>
        </w:tc>
        <w:tc>
          <w:tcPr>
            <w:tcW w:type="dxa" w:w="4320"/>
          </w:tcPr>
          <w:p>
            <w:r>
              <w:t>TransactionNumber, Item, UPC, UnitCost, Quantity, UnitTaxCode</w:t>
            </w:r>
          </w:p>
        </w:tc>
      </w:tr>
    </w:tbl>
    <w:p>
      <w:r>
        <w:t>TransactionNumber is a workbook-local integer starting at 1. It is the join key, not the supplier's invoice number. Document stays text to preserve leading zeros; UPC stays text to preserve long barcodes. IDs without leading zeros and with at most 15 digits may be numeric to match the target examples; otherwise they remain text. Dates are real Excel dates, and costs/quantities are numeric cells. There are no helper columns or generated formulas. Ref1/2/3 and Comment are empty unless a future approved mapping defines them.</w:t>
      </w:r>
    </w:p>
    <w:p>
      <w:r>
        <w:t>The current contract supports one PO, one currency and one tax code per invoice. A tax rule supplies the rate; the application checks tax against rounded net × rate. Tolerances are explicitly configured and confirmed. Currency decimal places are explicit; KWD uses three in the default policy. Mixed taxes, freight, discounts and credits require an extension rather than an invented allocation.</w:t>
      </w:r>
    </w:p>
    <w:p>
      <w:pPr>
        <w:pStyle w:val="Heading2"/>
      </w:pPr>
      <w:r>
        <w:t>Readiness and traceability</w:t>
      </w:r>
    </w:p>
    <w:p>
      <w:r>
        <w:t>All required identities, route and PO scope, items, units, unit prices, accepted quantity balances, arithmetic and tax must pass. The operator must confirm evidence review. Review alone cannot override failed matching. Export revalidates against the latest ledger inside a database transaction, preventing two concurrent invoices from consuming the same available quantity.</w:t>
      </w:r>
    </w:p>
    <w:p>
      <w:r>
        <w:t>Every export records the reference version, policy and line allocations. Corrections and reader attempts are audited. A changed review revision is rejected rather than overwriting another edit. Previously exported invoices download their existing result; they are not reposted by repeated clicks.</w:t>
      </w:r>
    </w:p>
    <w:p>
      <w:r>
        <w:br w:type="page"/>
      </w:r>
    </w:p>
    <w:p>
      <w:pPr>
        <w:pStyle w:val="Heading1"/>
      </w:pPr>
      <w:r>
        <w:t>Operator guide: from invoice to checked workbook</w:t>
      </w:r>
    </w:p>
    <w:p>
      <w:r>
        <w:t>Owner roles proposed: AP process owner and reference-data steward. Review cadence: monthly during pilot, then quarterly. Individual owners must be assigned before business rollout.</w:t>
      </w:r>
    </w:p>
    <w:p>
      <w:pPr>
        <w:pStyle w:val="Heading2"/>
      </w:pPr>
      <w:r>
        <w:t>Before the first batch</w:t>
      </w:r>
    </w:p>
    <w:p>
      <w:r>
        <w:t>Open the hosted portal and sign in with the approved Firebase account, or run the local application. Access hotfix revision 00005-zdk passed login, retained-job and sign-out checks, but the current feature bundle still needs hosted verification. Real-document extraction does not make staged or synthetic references valid for approval.</w:t>
      </w:r>
    </w:p>
    <w:p>
      <w:r>
        <w:t>The data steward prepares a reference snapshot with approved supplier sites, routes, items, purchase orders, receipt balances and tax rules. Import it in References and check counts, hashes, version and recovery receipt. A target invoice example cannot substitute for this snapshot. Keep an untouched copy of every source and its profile. The private source profile contains 412,139 rows—114,940 item and 297,199 PO/GRN—but its hosted import is paused/cancelling and the live lookup currently reports zero rows. Do not tell operators that lookup is available until a recovery receipt confirms it. Supplier/site mappings, accepted-receipt meaning and prior-invoicing baseline remain unresolved.</w:t>
      </w:r>
    </w:p>
    <w:p>
      <w:r>
        <w:t>The AP owner agrees price and total tolerances and the currency precision. Start with exact price matching; broaden a tolerance only for a documented business reason. Connect an AI provider if wanted, retrieve its model list and choose the model. The hosted workspace can offer managed Google Cloud AI through its service identity; usage is charged to the configured Google Cloud project and still requires processing-plan confirmation. OpenAI and Anthropic use API keys. The server-side Claude CLI can use an encrypted setup token where the CLI is installed. ChatGPT begins with local OAuth under the application's own registration, then an explicit export/import moves the credential to the authenticated hosted owner workspace. Live subscription access and inference must be checked with the owner's account; automated adapter tests do not prove eligibility.</w:t>
      </w:r>
    </w:p>
    <w:p>
      <w:pPr>
        <w:pStyle w:val="Heading2"/>
      </w:pPr>
      <w:r>
        <w:t>Daily process</w:t>
      </w:r>
    </w:p>
    <w:p>
      <w:r>
        <w:t>1. Select invoices. Add several files together, with one invoice per file. Split PDFs containing several invoices. The workspace runs up to two jobs at once and leaves the rest visibly queued.</w:t>
      </w:r>
    </w:p>
    <w:p>
      <w:r>
        <w:t>2. Review the plan. Check filenames, reader, language, fallback, provider/model, reference version and tolerances. Confirm to start. Cancel makes no extraction request.</w:t>
      </w:r>
    </w:p>
    <w:p>
      <w:r>
        <w:t>3. Watch the stages. Each invoice progresses independently. The selected job shows stages such as template matching, native PDF text, conservative layout extraction, OCR/document conversion, AI fallback and validation. For a readable PDF with no supplier template, automatic mode keeps native text and skips expensive image OCR. Native rules require a strong invoice heading, reject purchase orders, extract only explicit labels/spatial rows and leave ambiguous or internal business fields empty. Missing credentials or provider failure creates a visible exception.</w:t>
      </w:r>
    </w:p>
    <w:p>
      <w:r>
        <w:t>4. Inspect the evidence. Use Select processed to work through completed records. Open each result, check supplier, invoice number/date, PO and every line against the document, and save before moving to another invoice. Unsaved changes stay in the form and block batch download; there is no hidden autosave. Completeness is not proof of accuracy.</w:t>
      </w:r>
    </w:p>
    <w:p>
      <w:r>
        <w:t>5. Resolve holds. Correct a misread field, or ask the data steward to repair missing reference evidence. Save edits and revalidate. Do not change a master record simply to make an invoice pass.</w:t>
      </w:r>
    </w:p>
    <w:p>
      <w:r>
        <w:t>6. Confirm review. This acknowledges comparison with source evidence. The backend still checks every rule; confirmation does not bypass a hold.</w:t>
      </w:r>
    </w:p>
    <w:p>
      <w:r>
        <w:t>7. Choose the correct combined workbook. Download review workbook combines saved processed records and leaves unknown codes blank. It is marked EXTRACTION_REVIEW_ONLY and changes no job, approval, ledger or receipt allocation. Export approved accepts only selected ready invoices, revalidates references and reserves receipt quantities atomically. Never treat the review workbook as the approved import.</w:t>
      </w:r>
    </w:p>
    <w:p>
      <w:r>
        <w:t>8. Use a manual draft only when required. The manual editor exposes all 13 Header, 3 Tax_Breakdown and 6 Details fields and works even while OCR is queued or processing. Check every value and arithmetic, acknowledge that it is unvalidated, then download. The file says DRAFT_UNVALIDATED; it does not validate references, reserve a receipt, approve the invoice or change the extraction job.</w:t>
      </w:r>
    </w:p>
    <w:p>
      <w:r>
        <w:t>9. Retain evidence. Keep source files, reference versions, reviews and approved export receipts together. Retain the manual-draft audit separately from the approved ledger. Local mode uses .data; hosted mode uses Cloud SQL and private Cloud Storage. Back up database, source evidence and the corresponding encryption-key version together. Drain active work before a deployment; a database backup-restoration exercise is still required before business production.</w:t>
      </w:r>
    </w:p>
    <w:p>
      <w:r>
        <w:t>The audit distinguishes Text read, Invoice fields extracted and Extraction failed. A historical extracted event is displayed as Reader run finished (legacy event) and must not be interpreted as proof that fields or lines were extracted.</w:t>
      </w:r>
    </w:p>
    <w:p>
      <w:pPr>
        <w:pStyle w:val="Heading2"/>
      </w:pPr>
      <w:r>
        <w:t>Owner connection transfer</w:t>
      </w:r>
    </w:p>
    <w:p>
      <w:r>
        <w:t>For Claude, generate a setup token through the account's supported flow and paste it only into the protected connection form. The server encrypts it and supplies it to the restricted Claude CLI for the request; invoice tools are disabled and only the required extracted text is provided. Delete the connection to remove the saved token.</w:t>
      </w:r>
    </w:p>
    <w:p>
      <w:r>
        <w:t>For ChatGPT, sign in from the local application, select the connected account, and export the one-time credential bundle. A successful bundle construction removes the local encrypted credential, marks the local account disconnected and clears the active selection. Protect the downloaded file, import it promptly while signed in to the hosted owner workspace, then delete it from disk and downloads. If transfer fails after export, reconnect locally and repeat. Do not copy the bundle to chat, email, source control or shared storage.</w:t>
      </w:r>
    </w:p>
    <w:p>
      <w:pPr>
        <w:pStyle w:val="Heading2"/>
      </w:pPr>
      <w:r>
        <w:t>Responsibilities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Activity</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Reference mapping and scope</w:t>
            </w:r>
          </w:p>
        </w:tc>
        <w:tc>
          <w:tcPr>
            <w:tcW w:type="dxa" w:w="1728"/>
          </w:tcPr>
          <w:p>
            <w:r>
              <w:t>Data steward</w:t>
            </w:r>
          </w:p>
        </w:tc>
        <w:tc>
          <w:tcPr>
            <w:tcW w:type="dxa" w:w="1728"/>
          </w:tcPr>
          <w:p>
            <w:r>
              <w:t>Procurement/data owner</w:t>
            </w:r>
          </w:p>
        </w:tc>
        <w:tc>
          <w:tcPr>
            <w:tcW w:type="dxa" w:w="1728"/>
          </w:tcPr>
          <w:p>
            <w:r>
              <w:t>AP, receiving</w:t>
            </w:r>
          </w:p>
        </w:tc>
        <w:tc>
          <w:tcPr>
            <w:tcW w:type="dxa" w:w="1728"/>
          </w:tcPr>
          <w:p>
            <w:r>
              <w:t>Operator</w:t>
            </w:r>
          </w:p>
        </w:tc>
      </w:tr>
      <w:tr>
        <w:tc>
          <w:tcPr>
            <w:tcW w:type="dxa" w:w="1728"/>
          </w:tcPr>
          <w:p>
            <w:r>
              <w:t>Invoice evidence review</w:t>
            </w:r>
          </w:p>
        </w:tc>
        <w:tc>
          <w:tcPr>
            <w:tcW w:type="dxa" w:w="1728"/>
          </w:tcPr>
          <w:p>
            <w:r>
              <w:t>AP operator</w:t>
            </w:r>
          </w:p>
        </w:tc>
        <w:tc>
          <w:tcPr>
            <w:tcW w:type="dxa" w:w="1728"/>
          </w:tcPr>
          <w:p>
            <w:r>
              <w:t>AP owner</w:t>
            </w:r>
          </w:p>
        </w:tc>
        <w:tc>
          <w:tcPr>
            <w:tcW w:type="dxa" w:w="1728"/>
          </w:tcPr>
          <w:p>
            <w:r>
              <w:t>Supplier liaison</w:t>
            </w:r>
          </w:p>
        </w:tc>
        <w:tc>
          <w:tcPr>
            <w:tcW w:type="dxa" w:w="1728"/>
          </w:tcPr>
          <w:p>
            <w:r>
              <w:t>Finance</w:t>
            </w:r>
          </w:p>
        </w:tc>
      </w:tr>
      <w:tr>
        <w:tc>
          <w:tcPr>
            <w:tcW w:type="dxa" w:w="1728"/>
          </w:tcPr>
          <w:p>
            <w:r>
              <w:t>Receipt or quantity dispute</w:t>
            </w:r>
          </w:p>
        </w:tc>
        <w:tc>
          <w:tcPr>
            <w:tcW w:type="dxa" w:w="1728"/>
          </w:tcPr>
          <w:p>
            <w:r>
              <w:t>Receiving team</w:t>
            </w:r>
          </w:p>
        </w:tc>
        <w:tc>
          <w:tcPr>
            <w:tcW w:type="dxa" w:w="1728"/>
          </w:tcPr>
          <w:p>
            <w:r>
              <w:t>Receiving owner</w:t>
            </w:r>
          </w:p>
        </w:tc>
        <w:tc>
          <w:tcPr>
            <w:tcW w:type="dxa" w:w="1728"/>
          </w:tcPr>
          <w:p>
            <w:r>
              <w:t>AP, procurement</w:t>
            </w:r>
          </w:p>
        </w:tc>
        <w:tc>
          <w:tcPr>
            <w:tcW w:type="dxa" w:w="1728"/>
          </w:tcPr>
          <w:p>
            <w:r>
              <w:t>Supplier liaison</w:t>
            </w:r>
          </w:p>
        </w:tc>
      </w:tr>
      <w:tr>
        <w:tc>
          <w:tcPr>
            <w:tcW w:type="dxa" w:w="1728"/>
          </w:tcPr>
          <w:p>
            <w:r>
              <w:t>Tax rule definition</w:t>
            </w:r>
          </w:p>
        </w:tc>
        <w:tc>
          <w:tcPr>
            <w:tcW w:type="dxa" w:w="1728"/>
          </w:tcPr>
          <w:p>
            <w:r>
              <w:t>Finance/tax owner</w:t>
            </w:r>
          </w:p>
        </w:tc>
        <w:tc>
          <w:tcPr>
            <w:tcW w:type="dxa" w:w="1728"/>
          </w:tcPr>
          <w:p>
            <w:r>
              <w:t>Finance owner</w:t>
            </w:r>
          </w:p>
        </w:tc>
        <w:tc>
          <w:tcPr>
            <w:tcW w:type="dxa" w:w="1728"/>
          </w:tcPr>
          <w:p>
            <w:r>
              <w:t>AP</w:t>
            </w:r>
          </w:p>
        </w:tc>
        <w:tc>
          <w:tcPr>
            <w:tcW w:type="dxa" w:w="1728"/>
          </w:tcPr>
          <w:p>
            <w:r>
              <w:t>Data steward</w:t>
            </w:r>
          </w:p>
        </w:tc>
      </w:tr>
      <w:tr>
        <w:tc>
          <w:tcPr>
            <w:tcW w:type="dxa" w:w="1728"/>
          </w:tcPr>
          <w:p>
            <w:r>
              <w:t>Provider/model configuration</w:t>
            </w:r>
          </w:p>
        </w:tc>
        <w:tc>
          <w:tcPr>
            <w:tcW w:type="dxa" w:w="1728"/>
          </w:tcPr>
          <w:p>
            <w:r>
              <w:t>Application administrator</w:t>
            </w:r>
          </w:p>
        </w:tc>
        <w:tc>
          <w:tcPr>
            <w:tcW w:type="dxa" w:w="1728"/>
          </w:tcPr>
          <w:p>
            <w:r>
              <w:t>Product owner</w:t>
            </w:r>
          </w:p>
        </w:tc>
        <w:tc>
          <w:tcPr>
            <w:tcW w:type="dxa" w:w="1728"/>
          </w:tcPr>
          <w:p>
            <w:r>
              <w:t>Security/data owner</w:t>
            </w:r>
          </w:p>
        </w:tc>
        <w:tc>
          <w:tcPr>
            <w:tcW w:type="dxa" w:w="1728"/>
          </w:tcPr>
          <w:p>
            <w:r>
              <w:t>Operators</w:t>
            </w:r>
          </w:p>
        </w:tc>
      </w:tr>
      <w:tr>
        <w:tc>
          <w:tcPr>
            <w:tcW w:type="dxa" w:w="1728"/>
          </w:tcPr>
          <w:p>
            <w:r>
              <w:t>Release and backup recovery</w:t>
            </w:r>
          </w:p>
        </w:tc>
        <w:tc>
          <w:tcPr>
            <w:tcW w:type="dxa" w:w="1728"/>
          </w:tcPr>
          <w:p>
            <w:r>
              <w:t>Engineering/platform</w:t>
            </w:r>
          </w:p>
        </w:tc>
        <w:tc>
          <w:tcPr>
            <w:tcW w:type="dxa" w:w="1728"/>
          </w:tcPr>
          <w:p>
            <w:r>
              <w:t>Service owner</w:t>
            </w:r>
          </w:p>
        </w:tc>
        <w:tc>
          <w:tcPr>
            <w:tcW w:type="dxa" w:w="1728"/>
          </w:tcPr>
          <w:p>
            <w:r>
              <w:t>AP owner</w:t>
            </w:r>
          </w:p>
        </w:tc>
        <w:tc>
          <w:tcPr>
            <w:tcW w:type="dxa" w:w="1728"/>
          </w:tcPr>
          <w:p>
            <w:r>
              <w:t>Operators</w:t>
            </w:r>
          </w:p>
        </w:tc>
      </w:tr>
    </w:tbl>
    <w:p>
      <w:pPr>
        <w:pStyle w:val="Heading2"/>
      </w:pPr>
      <w:r>
        <w:t>Exceptions</w:t>
      </w:r>
    </w:p>
    <w:tbl>
      <w:tblPr>
        <w:tblStyle w:val="LightShading-Accent1"/>
        <w:tblW w:type="auto" w:w="0"/>
        <w:tblLook w:firstColumn="1" w:firstRow="1" w:lastColumn="0" w:lastRow="0" w:noHBand="0" w:noVBand="1" w:val="04A0"/>
      </w:tblPr>
      <w:tblGrid>
        <w:gridCol w:w="4320"/>
        <w:gridCol w:w="4320"/>
      </w:tblGrid>
      <w:tr>
        <w:tc>
          <w:tcPr>
            <w:tcW w:type="dxa" w:w="4320"/>
          </w:tcPr>
          <w:p>
            <w:r>
              <w:t>What you see</w:t>
            </w:r>
          </w:p>
        </w:tc>
        <w:tc>
          <w:tcPr>
            <w:tcW w:type="dxa" w:w="4320"/>
          </w:tcPr>
          <w:p>
            <w:r>
              <w:t>What to do</w:t>
            </w:r>
          </w:p>
        </w:tc>
      </w:tr>
      <w:tr>
        <w:tc>
          <w:tcPr>
            <w:tcW w:type="dxa" w:w="4320"/>
          </w:tcPr>
          <w:p>
            <w:r>
              <w:t>Unknown supplier/site or name conflict</w:t>
            </w:r>
          </w:p>
        </w:tc>
        <w:tc>
          <w:tcPr>
            <w:tcW w:type="dxa" w:w="4320"/>
          </w:tcPr>
          <w:p>
            <w:r>
              <w:t>Validate the source identity and approved aliases. Keep on hold until resolved.</w:t>
            </w:r>
          </w:p>
        </w:tc>
      </w:tr>
      <w:tr>
        <w:tc>
          <w:tcPr>
            <w:tcW w:type="dxa" w:w="4320"/>
          </w:tcPr>
          <w:p>
            <w:r>
              <w:t>Same supplier in a different market</w:t>
            </w:r>
          </w:p>
        </w:tc>
        <w:tc>
          <w:tcPr>
            <w:tcW w:type="dxa" w:w="4320"/>
          </w:tcPr>
          <w:p>
            <w:r>
              <w:t>Confirm the exact route and buying company; an existing domestic approval is insufficient.</w:t>
            </w:r>
          </w:p>
        </w:tc>
      </w:tr>
      <w:tr>
        <w:tc>
          <w:tcPr>
            <w:tcW w:type="dxa" w:w="4320"/>
          </w:tcPr>
          <w:p>
            <w:r>
              <w:t>Missing PO or multiple possible item matches</w:t>
            </w:r>
          </w:p>
        </w:tc>
        <w:tc>
          <w:tcPr>
            <w:tcW w:type="dxa" w:w="4320"/>
          </w:tcPr>
          <w:p>
            <w:r>
              <w:t>Supply source evidence or repair the reference mapping; never choose the first candidate by position.</w:t>
            </w:r>
          </w:p>
        </w:tc>
      </w:tr>
      <w:tr>
        <w:tc>
          <w:tcPr>
            <w:tcW w:type="dxa" w:w="4320"/>
          </w:tcPr>
          <w:p>
            <w:r>
              <w:t>Missing receipt or over-billing</w:t>
            </w:r>
          </w:p>
        </w:tc>
        <w:tc>
          <w:tcPr>
            <w:tcW w:type="dxa" w:w="4320"/>
          </w:tcPr>
          <w:p>
            <w:r>
              <w:t>Ask receiving to confirm accepted goods and returns. Ordered quantity is not proof of receipt.</w:t>
            </w:r>
          </w:p>
        </w:tc>
      </w:tr>
      <w:tr>
        <w:tc>
          <w:tcPr>
            <w:tcW w:type="dxa" w:w="4320"/>
          </w:tcPr>
          <w:p>
            <w:r>
              <w:t>Price, unit or tax mismatch</w:t>
            </w:r>
          </w:p>
        </w:tc>
        <w:tc>
          <w:tcPr>
            <w:tcW w:type="dxa" w:w="4320"/>
          </w:tcPr>
          <w:p>
            <w:r>
              <w:t>Resolve commercially or add an explicitly approved contract extension. Do not invent unit conversion or tax allocation.</w:t>
            </w:r>
          </w:p>
        </w:tc>
      </w:tr>
      <w:tr>
        <w:tc>
          <w:tcPr>
            <w:tcW w:type="dxa" w:w="4320"/>
          </w:tcPr>
          <w:p>
            <w:r>
              <w:t>Duplicate invoice</w:t>
            </w:r>
          </w:p>
        </w:tc>
        <w:tc>
          <w:tcPr>
            <w:tcW w:type="dxa" w:w="4320"/>
          </w:tcPr>
          <w:p>
            <w:r>
              <w:t>Review existing export/history; repeated clicks return the prior export.</w:t>
            </w:r>
          </w:p>
        </w:tc>
      </w:tr>
      <w:tr>
        <w:tc>
          <w:tcPr>
            <w:tcW w:type="dxa" w:w="4320"/>
          </w:tcPr>
          <w:p>
            <w:r>
              <w:t>Reader fails</w:t>
            </w:r>
          </w:p>
        </w:tc>
        <w:tc>
          <w:tcPr>
            <w:tcW w:type="dxa" w:w="4320"/>
          </w:tcPr>
          <w:p>
            <w:r>
              <w:t>Inspect its field/item/text counts and method. Paddle and Docling are selectable paths, not universal guarantees. Change reader or enable permitted AI, then confirm a new plan.</w:t>
            </w:r>
          </w:p>
        </w:tc>
      </w:tr>
      <w:tr>
        <w:tc>
          <w:tcPr>
            <w:tcW w:type="dxa" w:w="4320"/>
          </w:tcPr>
          <w:p>
            <w:r>
              <w:t>AI connection fails or limits are reached</w:t>
            </w:r>
          </w:p>
        </w:tc>
        <w:tc>
          <w:tcPr>
            <w:tcW w:type="dxa" w:w="4320"/>
          </w:tcPr>
          <w:p>
            <w:r>
              <w:t>Reconnect/select a model, retry later or enter verified values manually. The invoice stays on hold.</w:t>
            </w:r>
          </w:p>
        </w:tc>
      </w:tr>
      <w:tr>
        <w:tc>
          <w:tcPr>
            <w:tcW w:type="dxa" w:w="4320"/>
          </w:tcPr>
          <w:p>
            <w:r>
              <w:t>OCR is slow but an immediate workbook is required</w:t>
            </w:r>
          </w:p>
        </w:tc>
        <w:tc>
          <w:tcPr>
            <w:tcW w:type="dxa" w:w="4320"/>
          </w:tcPr>
          <w:p>
            <w:r>
              <w:t>Use the all-field manual editor and download only the clearly marked DRAFT_UNVALIDATED file. It does not consume receipts or make the job ready.</w:t>
            </w:r>
          </w:p>
        </w:tc>
      </w:tr>
      <w:tr>
        <w:tc>
          <w:tcPr>
            <w:tcW w:type="dxa" w:w="4320"/>
          </w:tcPr>
          <w:p>
            <w:r>
              <w:t>Lookup shows duplicate or conflicting products/POs</w:t>
            </w:r>
          </w:p>
        </w:tc>
        <w:tc>
          <w:tcPr>
            <w:tcW w:type="dxa" w:w="4320"/>
          </w:tcPr>
          <w:p>
            <w:r>
              <w:t>Compare source context, refine the search and explicitly confirm only supported evidence. Keep the invoice unapproved until canonical reference owners resolve the conflict.</w:t>
            </w:r>
          </w:p>
        </w:tc>
      </w:tr>
      <w:tr>
        <w:tc>
          <w:tcPr>
            <w:tcW w:type="dxa" w:w="4320"/>
          </w:tcPr>
          <w:p>
            <w:r>
              <w:t>ChatGPT transfer download is lost</w:t>
            </w:r>
          </w:p>
        </w:tc>
        <w:tc>
          <w:tcPr>
            <w:tcW w:type="dxa" w:w="4320"/>
          </w:tcPr>
          <w:p>
            <w:r>
              <w:t>The local credential was detached after bundle construction. Reconnect locally and create a new transfer; never try to reconstruct token values.</w:t>
            </w:r>
          </w:p>
        </w:tc>
      </w:tr>
      <w:tr>
        <w:tc>
          <w:tcPr>
            <w:tcW w:type="dxa" w:w="4320"/>
          </w:tcPr>
          <w:p>
            <w:r>
              <w:t>Reference/rule changes during extraction</w:t>
            </w:r>
          </w:p>
        </w:tc>
        <w:tc>
          <w:tcPr>
            <w:tcW w:type="dxa" w:w="4320"/>
          </w:tcPr>
          <w:p>
            <w:r>
              <w:t>Review the new plan and retry; the old confirmation does not authorize new rules.</w:t>
            </w:r>
          </w:p>
        </w:tc>
      </w:tr>
      <w:tr>
        <w:tc>
          <w:tcPr>
            <w:tcW w:type="dxa" w:w="4320"/>
          </w:tcPr>
          <w:p>
            <w:r>
              <w:t>Restart during reading</w:t>
            </w:r>
          </w:p>
        </w:tc>
        <w:tc>
          <w:tcPr>
            <w:tcW w:type="dxa" w:w="4320"/>
          </w:tcPr>
          <w:p>
            <w:r>
              <w:t>Job shows an interrupted status. Review the plan and retry; existing exports remain intact.</w:t>
            </w:r>
          </w:p>
        </w:tc>
      </w:tr>
      <w:tr>
        <w:tc>
          <w:tcPr>
            <w:tcW w:type="dxa" w:w="4320"/>
          </w:tcPr>
          <w:p>
            <w:r>
              <w:t>Credit, multiple POs or mixed taxes</w:t>
            </w:r>
          </w:p>
        </w:tc>
        <w:tc>
          <w:tcPr>
            <w:tcW w:type="dxa" w:w="4320"/>
          </w:tcPr>
          <w:p>
            <w:r>
              <w:t>Keep for the agreed exception process until the product has an approved contract for that case.</w:t>
            </w:r>
          </w:p>
        </w:tc>
      </w:tr>
    </w:tbl>
    <w:p>
      <w:pPr>
        <w:pStyle w:val="Heading2"/>
      </w:pPr>
      <w:r>
        <w:t>Pilot measures</w:t>
      </w:r>
    </w:p>
    <w:p>
      <w:r>
        <w:t>Targets below are proposed acceptance gates, not measured results.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Proposed gate</w:t>
            </w:r>
          </w:p>
        </w:tc>
        <w:tc>
          <w:tcPr>
            <w:tcW w:type="dxa" w:w="2880"/>
          </w:tcPr>
          <w:p>
            <w:r>
              <w:t>Method</w:t>
            </w:r>
          </w:p>
        </w:tc>
      </w:tr>
      <w:tr>
        <w:tc>
          <w:tcPr>
            <w:tcW w:type="dxa" w:w="2880"/>
          </w:tcPr>
          <w:p>
            <w:r>
              <w:t>Export validity</w:t>
            </w:r>
          </w:p>
        </w:tc>
        <w:tc>
          <w:tcPr>
            <w:tcW w:type="dxa" w:w="2880"/>
          </w:tcPr>
          <w:p>
            <w:r>
              <w:t>Zero known false-ready approved invoices in the adjudicated pilot</w:t>
            </w:r>
          </w:p>
        </w:tc>
        <w:tc>
          <w:tcPr>
            <w:tcW w:type="dxa" w:w="2880"/>
          </w:tcPr>
          <w:p>
            <w:r>
              <w:t>Independently compare every approved export field and allocation; report manual drafts separately</w:t>
            </w:r>
          </w:p>
        </w:tc>
      </w:tr>
      <w:tr>
        <w:tc>
          <w:tcPr>
            <w:tcW w:type="dxa" w:w="2880"/>
          </w:tcPr>
          <w:p>
            <w:r>
              <w:t>Target compatibility</w:t>
            </w:r>
          </w:p>
        </w:tc>
        <w:tc>
          <w:tcPr>
            <w:tcW w:type="dxa" w:w="2880"/>
          </w:tcPr>
          <w:p>
            <w:r>
              <w:t>All agreed downstream import tests pass</w:t>
            </w:r>
          </w:p>
        </w:tc>
        <w:tc>
          <w:tcPr>
            <w:tcW w:type="dxa" w:w="2880"/>
          </w:tcPr>
          <w:p>
            <w:r>
              <w:t>Load an accepted synthetic and controlled business test batch</w:t>
            </w:r>
          </w:p>
        </w:tc>
      </w:tr>
      <w:tr>
        <w:tc>
          <w:tcPr>
            <w:tcW w:type="dxa" w:w="2880"/>
          </w:tcPr>
          <w:p>
            <w:r>
              <w:t>Manual effort</w:t>
            </w:r>
          </w:p>
        </w:tc>
        <w:tc>
          <w:tcPr>
            <w:tcW w:type="dxa" w:w="2880"/>
          </w:tcPr>
          <w:p>
            <w:r>
              <w:t>Establish baseline, then demonstrate reduction</w:t>
            </w:r>
          </w:p>
        </w:tc>
        <w:tc>
          <w:tcPr>
            <w:tcW w:type="dxa" w:w="2880"/>
          </w:tcPr>
          <w:p>
            <w:r>
              <w:t>Record minutes per invoice before and after, including exceptions</w:t>
            </w:r>
          </w:p>
        </w:tc>
      </w:tr>
      <w:tr>
        <w:tc>
          <w:tcPr>
            <w:tcW w:type="dxa" w:w="2880"/>
          </w:tcPr>
          <w:p>
            <w:r>
              <w:t>Header extraction</w:t>
            </w:r>
          </w:p>
        </w:tc>
        <w:tc>
          <w:tcPr>
            <w:tcW w:type="dxa" w:w="2880"/>
          </w:tcPr>
          <w:p>
            <w:r>
              <w:t>Target ≥90% exact accuracy; not yet proven</w:t>
            </w:r>
          </w:p>
        </w:tc>
        <w:tc>
          <w:tcPr>
            <w:tcW w:type="dxa" w:w="2880"/>
          </w:tcPr>
          <w:p>
            <w:r>
              <w:t>All frozen gold header cells, including expected nulls; errors/timeouts score zero</w:t>
            </w:r>
          </w:p>
        </w:tc>
      </w:tr>
      <w:tr>
        <w:tc>
          <w:tcPr>
            <w:tcW w:type="dxa" w:w="2880"/>
          </w:tcPr>
          <w:p>
            <w:r>
              <w:t>Line extraction</w:t>
            </w:r>
          </w:p>
        </w:tc>
        <w:tc>
          <w:tcPr>
            <w:tcW w:type="dxa" w:w="2880"/>
          </w:tcPr>
          <w:p>
            <w:r>
              <w:t>Target ≥90% exact line-cell accuracy; not yet proven</w:t>
            </w:r>
          </w:p>
        </w:tc>
        <w:tc>
          <w:tcPr>
            <w:tcW w:type="dxa" w:w="2880"/>
          </w:tcPr>
          <w:p>
            <w:r>
              <w:t>Align to adjudicated source order; report line recall plus exact item/description/qty/unit/price cells</w:t>
            </w:r>
          </w:p>
        </w:tc>
      </w:tr>
      <w:tr>
        <w:tc>
          <w:tcPr>
            <w:tcW w:type="dxa" w:w="2880"/>
          </w:tcPr>
          <w:p>
            <w:r>
              <w:t>Zero-correction invoices</w:t>
            </w:r>
          </w:p>
        </w:tc>
        <w:tc>
          <w:tcPr>
            <w:tcW w:type="dxa" w:w="2880"/>
          </w:tcPr>
          <w:p>
            <w:r>
              <w:t>Target ≥90%; not yet proven</w:t>
            </w:r>
          </w:p>
        </w:tc>
        <w:tc>
          <w:tcPr>
            <w:tcW w:type="dxa" w:w="2880"/>
          </w:tcPr>
          <w:p>
            <w:r>
              <w:t>Invoices needing no extraction correction divided by all attempts, including failures/timeouts</w:t>
            </w:r>
          </w:p>
        </w:tc>
      </w:tr>
      <w:tr>
        <w:tc>
          <w:tcPr>
            <w:tcW w:type="dxa" w:w="2880"/>
          </w:tcPr>
          <w:p>
            <w:r>
              <w:t>AI dependence</w:t>
            </w:r>
          </w:p>
        </w:tc>
        <w:tc>
          <w:tcPr>
            <w:tcW w:type="dxa" w:w="2880"/>
          </w:tcPr>
          <w:p>
            <w:r>
              <w:t>Visible and within agreed budget</w:t>
            </w:r>
          </w:p>
        </w:tc>
        <w:tc>
          <w:tcPr>
            <w:tcW w:type="dxa" w:w="2880"/>
          </w:tcPr>
          <w:p>
            <w:r>
              <w:t>Fallback rate, tokens, latency and failure rates</w:t>
            </w:r>
          </w:p>
        </w:tc>
      </w:tr>
      <w:tr>
        <w:tc>
          <w:tcPr>
            <w:tcW w:type="dxa" w:w="2880"/>
          </w:tcPr>
          <w:p>
            <w:r>
              <w:t>Traceability</w:t>
            </w:r>
          </w:p>
        </w:tc>
        <w:tc>
          <w:tcPr>
            <w:tcW w:type="dxa" w:w="2880"/>
          </w:tcPr>
          <w:p>
            <w:r>
              <w:t>Every export reconstructable</w:t>
            </w:r>
          </w:p>
        </w:tc>
        <w:tc>
          <w:tcPr>
            <w:tcW w:type="dxa" w:w="2880"/>
          </w:tcPr>
          <w:p>
            <w:r>
              <w:t>Source hash, reference version, edits, policy and allocations</w:t>
            </w:r>
          </w:p>
        </w:tc>
      </w:tr>
    </w:tbl>
    <w:p>
      <w:r>
        <w:t>Freeze and adjudicate the gold set before tuning. Stratify by supplier, native/scan, language, document quality and page length, and publish subgroup results so an aggregate cannot hide a weak cohort. The three-scan Paddle result has a conservative 90.91% floor with descriptions treated unproven. Docling recovered bounded native tables but timed out on ten pages and returned no reliable lines on three scans. Native PDF and managed Vertex checks were exact on the source-tested fields of one layout family. These results do not prove the expected 95% across the pilot population.</w:t>
      </w:r>
    </w:p>
    <w:p>
      <w:r>
        <w:br w:type="page"/>
      </w:r>
    </w:p>
    <w:p>
      <w:pPr>
        <w:pStyle w:val="Heading1"/>
      </w:pPr>
      <w:r>
        <w:t>Verification record</w:t>
      </w:r>
    </w:p>
    <w:p>
      <w:r>
        <w:t>This is an implementation test record, not a measured claim about accuracy across supplier invoices.</w:t>
      </w:r>
    </w:p>
    <w:p>
      <w:pPr>
        <w:pStyle w:val="Heading2"/>
      </w:pPr>
      <w:r>
        <w:t>Automated and local verification</w:t>
      </w:r>
    </w:p>
    <w:p>
      <w:r>
        <w:t>The repository suite currently passes 148 tests with no skips, including the real PostgreSQL contract. Ruff is clean. The full Chromium workflow passes, including desktop/mobile layout, stable source preview, explicit save-before-batch behavior, combined review-only Excel, the separate atomic approved export, reference candidates and managed Vertex selection. All three Docker reader warmups passed in 63 seconds and recovered both synthetic lines. Access hotfix revision 00005-zdk is deployed; hosted login, 31 retained jobs and sign-out passed after the only uncommitted reference import was cancelled. The complete current feature bundle is not yet claimed live. The hosted lookup currently reports zero rows, so catalog availability and recovery remain pending.</w:t>
      </w:r>
    </w:p>
    <w:p>
      <w:pPr>
        <w:pStyle w:val="ListBullet"/>
      </w:pPr>
      <w:r>
        <w:t>Backend tests cover exact identity and scope, SKU/GTIN conflicts, receipt balances, returns, repeated lines, duplicate invoices, currency rounding, review revisions, atomic batch export, malformed reference inputs and secret encryption.</w:t>
      </w:r>
    </w:p>
    <w:p>
      <w:pPr>
        <w:pStyle w:val="ListBullet"/>
      </w:pPr>
      <w:r>
        <w:t>Preflight regressions prove invalid uploads do not consume confirmation, missing confirmation blocks processing, changed rules invalidate a plan, and a mid-extraction rule change cannot enrich or approve the result under unconfirmed rules.</w:t>
      </w:r>
    </w:p>
    <w:p>
      <w:pPr>
        <w:pStyle w:val="ListBullet"/>
      </w:pPr>
      <w:r>
        <w:t>Mocked provider tests cover managed Vertex AI, OpenAI, Anthropic, local Claude and ChatGPT request/response contracts, structured output and failure paths. Vertex uses Application Default Credentials, a fixed Google endpoint, bounded inline document/text input, a strict response schema and safe errors.</w:t>
      </w:r>
    </w:p>
    <w:p>
      <w:pPr>
        <w:pStyle w:val="ListBullet"/>
      </w:pPr>
      <w:r>
        <w:t>Cloud identity tests require a verified, allowlisted email and check token revocation. Anonymous access to invoices, references and downloads is rejected. PostgreSQL/GCS contract tests cover transaction locking, rollback, ciphertext credentials, raw export SQL and blob recovery; the real-database test runs when INV_STUDIO_TEST_DATABASE_URL is supplied.</w:t>
      </w:r>
    </w:p>
    <w:p>
      <w:pPr>
        <w:pStyle w:val="ListBullet"/>
      </w:pPr>
      <w:r>
        <w:t>Real Chromium tests cover desktop/mobile layout, no processing before confirmation, cancel behavior, multi-file upload, review/export holds, visible unsaved edits, combined review-only download without job/ledger mutation, approved two-invoice batch download, exact 13/3/6 shapes, transaction joins and no provider-key browser storage.</w:t>
      </w:r>
    </w:p>
    <w:p>
      <w:pPr>
        <w:pStyle w:val="ListBullet"/>
      </w:pPr>
      <w:r>
        <w:t>Printed line net and tax values are preserved separately from printed unit price. Regressions prove review saves retain them and neither extraction nor quality checks reprice a line to force arithmetic.</w:t>
      </w:r>
    </w:p>
    <w:p>
      <w:pPr>
        <w:pStyle w:val="ListBullet"/>
      </w:pPr>
      <w:r>
        <w:t>Native-layout regressions require a strong invoice heading, reject purchase orders, extract explicit labeled facts and spatial table rows, preserve leading zeros, leave conflicts/ambiguous dates unset and never infer internal business codes, currency or header totals from line arithmetic.</w:t>
      </w:r>
    </w:p>
    <w:p>
      <w:pPr>
        <w:pStyle w:val="ListBullet"/>
      </w:pPr>
      <w:r>
        <w:t>Extraction outcome regressions record text_read, fields_extracted or extraction_failed; the legacy extracted event is displayed only as Reader run finished (legacy event).</w:t>
      </w:r>
    </w:p>
    <w:p>
      <w:pPr>
        <w:pStyle w:val="ListBullet"/>
      </w:pPr>
      <w:r>
        <w:t>Manual-draft regressions must prove exact 13/3/6 sheets, leading-zero text, no formulas, explicit acknowledgement, DRAFT_UNVALIDATED disclosure, download during processing, and no change to job/revision/invoice/reference approval/export ledger/receipt allocation.</w:t>
      </w:r>
    </w:p>
    <w:p>
      <w:pPr>
        <w:pStyle w:val="ListBullet"/>
      </w:pPr>
      <w:r>
        <w:t>Lookup regressions exercise the 114,940-item / 297,199-PO/GRN source profile (412,139 rows), identifier and product-name search, pagination/filtering, conflict display and explicit confirmation while proving that lookup records are not approved matching data. The hosted import is paused/cancelling and live availability is not confirmed.</w:t>
      </w:r>
    </w:p>
    <w:p>
      <w:pPr>
        <w:pStyle w:val="ListBullet"/>
      </w:pPr>
      <w:r>
        <w:t>Connection regressions must cover Claude setup-token encryption/removal and cloud authentication, plus the ChatGPT move boundary: local export only, credential detachment after successful bundle construction, hosted import only, and no secret returned through state or errors.</w:t>
      </w:r>
    </w:p>
    <w:p>
      <w:pPr>
        <w:pStyle w:val="Heading2"/>
      </w:pPr>
      <w:r>
        <w:t>Commands</w:t>
      </w:r>
    </w:p>
    <w:p>
      <w:r>
        <w:t>Use an isolated data directory for browser tests: they deliberately import synthetic references and create invoices/exports. The Docker build warms all local readers on synthetic documents and fails if the expected invoice lines are not recovered.</w:t>
      </w:r>
    </w:p>
    <w:p>
      <w:pPr>
        <w:pStyle w:val="Heading2"/>
      </w:pPr>
      <w:r>
        <w:t>Observed extraction checks</w:t>
      </w:r>
    </w:p>
    <w:p>
      <w:r>
        <w:t>No invoice values are published. The figures below are aggregate private engineering evidence, with their denominators and limits kept visible.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Path</w:t>
            </w:r>
          </w:p>
        </w:tc>
        <w:tc>
          <w:tcPr>
            <w:tcW w:type="dxa" w:w="2880"/>
          </w:tcPr>
          <w:p>
            <w:r>
              <w:t>Observed private result</w:t>
            </w:r>
          </w:p>
        </w:tc>
        <w:tc>
          <w:tcPr>
            <w:tcW w:type="dxa" w:w="2880"/>
          </w:tcPr>
          <w:p>
            <w:r>
              <w:t>Practical conclusion</w:t>
            </w:r>
          </w:p>
        </w:tc>
      </w:tr>
      <w:tr>
        <w:tc>
          <w:tcPr>
            <w:tcW w:type="dxa" w:w="2880"/>
          </w:tcPr>
          <w:p>
            <w:r>
              <w:t>Native PDF tables, AI off</w:t>
            </w:r>
          </w:p>
        </w:tc>
        <w:tc>
          <w:tcPr>
            <w:tcW w:type="dxa" w:w="2880"/>
          </w:tcPr>
          <w:p>
            <w:r>
              <w:t>15/15 PDFs, 570/570 rows and 3,990/3,990 source-tested line fields exact; 24.6 s total on the first batch and 12.9 s total warm</w:t>
            </w:r>
          </w:p>
        </w:tc>
        <w:tc>
          <w:tcPr>
            <w:tcW w:type="dxa" w:w="2880"/>
          </w:tcPr>
          <w:p>
            <w:r>
              <w:t>Strong evidence for this one native layout family through the invoice2data/native adapter; not a supplier-wide result</w:t>
            </w:r>
          </w:p>
        </w:tc>
      </w:tr>
      <w:tr>
        <w:tc>
          <w:tcPr>
            <w:tcW w:type="dxa" w:w="2880"/>
          </w:tcPr>
          <w:p>
            <w:r>
              <w:t>PaddleOCR + layout, AI off</w:t>
            </w:r>
          </w:p>
        </w:tc>
        <w:tc>
          <w:tcPr>
            <w:tcW w:type="dxa" w:w="2880"/>
          </w:tcPr>
          <w:p>
            <w:r>
              <w:t>6/6 lines; 60/60 adjudicated header, identifier and numeric facts exact across three scans</w:t>
            </w:r>
          </w:p>
        </w:tc>
        <w:tc>
          <w:tcPr>
            <w:tcW w:type="dxa" w:w="2880"/>
          </w:tcPr>
          <w:p>
            <w:r>
              <w:t>Descriptions remain unproven because raw OCR visibly fuses/spaces words. Counting all six descriptions as incorrect gives a conservative 60/66 = 90.91% floor</w:t>
            </w:r>
          </w:p>
        </w:tc>
      </w:tr>
      <w:tr>
        <w:tc>
          <w:tcPr>
            <w:tcW w:type="dxa" w:w="2880"/>
          </w:tcPr>
          <w:p>
            <w:r>
              <w:t>Docling, AI off</w:t>
            </w:r>
          </w:p>
        </w:tc>
        <w:tc>
          <w:tcPr>
            <w:tcW w:type="dxa" w:w="2880"/>
          </w:tcPr>
          <w:p>
            <w:r>
              <w:t>5/5 lines in 34 s; 1/1 line on a one-page document; 17/17 lines on a two-page document in 92 s</w:t>
            </w:r>
          </w:p>
        </w:tc>
        <w:tc>
          <w:tcPr>
            <w:tcW w:type="dxa" w:w="2880"/>
          </w:tcPr>
          <w:p>
            <w:r>
              <w:t>Native-table conversion works on these bounded examples</w:t>
            </w:r>
          </w:p>
        </w:tc>
      </w:tr>
      <w:tr>
        <w:tc>
          <w:tcPr>
            <w:tcW w:type="dxa" w:w="2880"/>
          </w:tcPr>
          <w:p>
            <w:r>
              <w:t>Docling failure boundary</w:t>
            </w:r>
          </w:p>
        </w:tc>
        <w:tc>
          <w:tcPr>
            <w:tcW w:type="dxa" w:w="2880"/>
          </w:tcPr>
          <w:p>
            <w:r>
              <w:t>Ten-page document exceeded 528 s and was terminated; three scans took 103/155/170 s and returned 0 reliable lines with only 3/2/2 headers</w:t>
            </w:r>
          </w:p>
        </w:tc>
        <w:tc>
          <w:tcPr>
            <w:tcW w:type="dxa" w:w="2880"/>
          </w:tcPr>
          <w:p>
            <w:r>
              <w:t>The expected 95% and broad scan support are unresolved; Docling must remain a selectable, review-required path rather than a universal fallback</w:t>
            </w:r>
          </w:p>
        </w:tc>
      </w:tr>
      <w:tr>
        <w:tc>
          <w:tcPr>
            <w:tcW w:type="dxa" w:w="2880"/>
          </w:tcPr>
          <w:p>
            <w:r>
              <w:t>Managed Vertex</w:t>
            </w:r>
          </w:p>
        </w:tc>
        <w:tc>
          <w:tcPr>
            <w:tcW w:type="dxa" w:w="2880"/>
          </w:tcPr>
          <w:p>
            <w:r>
              <w:t>15 documents, 570 lines, all source-tested fields exact after retry, from one layout family</w:t>
            </w:r>
          </w:p>
        </w:tc>
        <w:tc>
          <w:tcPr>
            <w:tcW w:type="dxa" w:w="2880"/>
          </w:tcPr>
          <w:p>
            <w:r>
              <w:t>Useful within-sample evidence only; it does not establish held-out supplier, scan, language or page-length accuracy</w:t>
            </w:r>
          </w:p>
        </w:tc>
      </w:tr>
    </w:tbl>
    <w:p>
      <w:r>
        <w:t>The hosted candidate currently contains 14 of those evaluated documents with 377 lines plus four other real jobs. The 193-line ten-page result is not yet live. Do not combine local and hosted counts into a deployment claim.</w:t>
      </w:r>
    </w:p>
    <w:p>
      <w:r>
        <w:t>The 15 successful managed Vertex calls used 36,450 input tokens and 91,892 output tokens including reasoning. At Google's current global introductory Gemini 3.7 Flash rate through 31 December 2026—USD 0.75 per million input tokens and USD 3.75 per million output tokens—the calculated usage is USD 0.3719325, or USD 24.7955 per 1,000 documents at the same token mix. This is not an actual bill and excludes retries, Cloud Run, Cloud SQL, storage and network charges. Pricing source: Google Agent Platform generative AI pricing.</w:t>
      </w:r>
    </w:p>
    <w:p>
      <w:pPr>
        <w:pStyle w:val="Heading2"/>
      </w:pPr>
      <w:r>
        <w:t>Frozen held-out 90% evaluation plan</w:t>
      </w:r>
    </w:p>
    <w:p>
      <w:r>
        <w:t>The 90% figures below are proposed acceptance targets, not measured results.</w:t>
      </w:r>
    </w:p>
    <w:p>
      <w:r>
        <w:t>1. Select a held-out set stratified by supplier, native text versus scan, language, page-count band and document quality. Freeze file hashes and the provider/model/revision before any tuning.</w:t>
      </w:r>
    </w:p>
    <w:p>
      <w:r>
        <w:t>2. One reviewer transcribes every expected header and line cell; a second checks the transcription against the source; an adjudicator resolves differences. Represent expected missing values explicitly as null.</w:t>
      </w:r>
    </w:p>
    <w:p>
      <w:r>
        <w:t>3. Run every invoice once under the controlled plan. Keep errors, timeouts, rejected schemas and empty output in the denominator; score their affected cells and zero-correction outcome as incorrect.</w:t>
      </w:r>
    </w:p>
    <w:p>
      <w:r>
        <w:t>4. Report header-field exact accuracy over every gold header cell, including expected nulls. Apply only contract-defined normalization for dates, Decimals and whitespace.</w:t>
      </w:r>
    </w:p>
    <w:p>
      <w:r>
        <w:t>5. Align output lines with gold lines by adjudicated source order/evidence. Report line recall and line-cell exact accuracy over item identifiers, description, quantity, unit, price and evidence page. Extra, missing and misaligned lines are errors.</w:t>
      </w:r>
    </w:p>
    <w:p>
      <w:r>
        <w:t>6. Report zero-correction invoice rate: invoices requiring no extracted header or line edit divided by all attempted invoices.</w:t>
      </w:r>
    </w:p>
    <w:p>
      <w:r>
        <w:t>7. Separately report schema validity, completeness, arithmetic reconciliation, validation holds, latency, tokens, cost and correction reason. None of those substitutes for accuracy.</w:t>
      </w:r>
    </w:p>
    <w:p>
      <w:r>
        <w:t>Proposed gate: at least 90% header-field exact accuracy, 90% line-cell exact accuracy and 90% zero-correction invoices, with zero false-ready approved invoices. Report confidence intervals and each agreed supplier/language/scan stratum; the business owner must set a minimum per stratum so a large easy cohort cannot hide a weak one. A controlled reviewer signs the comparison, and AP/data owners decide whether failures require a template/rule change or continued manual handling.</w:t>
      </w:r>
    </w:p>
    <w:p>
      <w:pPr>
        <w:pStyle w:val="Heading2"/>
      </w:pPr>
      <w:r>
        <w:t>Business and deployment acceptance still required</w:t>
      </w:r>
    </w:p>
    <w:p>
      <w:r>
        <w:t>Approve supplier/site mappings, receipt-acceptance meaning, prior-invoicing baseline and other unresolved business fields before real invoices can be called ready. Complete the frozen evaluation above and verify the generated workbook in the actual receiving process.</w:t>
      </w:r>
    </w:p>
    <w:p>
      <w:pPr>
        <w:pStyle w:val="Heading2"/>
      </w:pPr>
      <w:r>
        <w:t>Hosted verification boundary</w:t>
      </w:r>
    </w:p>
    <w:p>
      <w:r>
        <w:t>The Firebase/GCP endpoint was exercised with a temporary verified, allowlisted test identity:</w:t>
      </w:r>
    </w:p>
    <w:p>
      <w:pPr>
        <w:pStyle w:val="ListBullet"/>
      </w:pPr>
      <w:r>
        <w:t>Anonymous protected API requests are rejected; authenticated session identity is checked by the server.</w:t>
      </w:r>
    </w:p>
    <w:p>
      <w:pPr>
        <w:pStyle w:val="ListBullet"/>
      </w:pPr>
      <w:r>
        <w:t>Actual invoice2data PDF, PaddleOCR scan and Docling PDF jobs each recovered both synthetic invoice lines.</w:t>
      </w:r>
    </w:p>
    <w:p>
      <w:pPr>
        <w:pStyle w:val="ListBullet"/>
      </w:pPr>
      <w:r>
        <w:t>Two separate reviewed invoices exported one workbook with exactly Header/Tax_Breakdown/Details, 13/3/6 columns, transaction IDs 1 and 2 on all sheets, and no formulas.</w:t>
      </w:r>
    </w:p>
    <w:p>
      <w:pPr>
        <w:pStyle w:val="ListBullet"/>
      </w:pPr>
      <w:r>
        <w:t>After replacing the Cloud Run revision, all five jobs remained present. The workbook and every original document retained their exact SHA-256 hashes.</w:t>
      </w:r>
    </w:p>
    <w:p>
      <w:pPr>
        <w:pStyle w:val="ListBullet"/>
      </w:pPr>
      <w:r>
        <w:t>Actual desktop/mobile browser checks cover Firebase password sign-in, authenticated source preview, Excel download and sign-out.</w:t>
      </w:r>
    </w:p>
    <w:p>
      <w:r>
        <w:t>This proves the earlier hosted synthetic workflow, not accuracy or export eligibility for unapproved business extracts. Database backup restoration and representative held-out evaluation remain separate acceptance work. The narrow private measurements above must retain their supplier/layout denominators.</w:t>
      </w:r>
    </w:p>
    <w:p>
      <w:r>
        <w:t>Access hotfix 00005-zdk passed login, retained-job count and sign-out. The current feature bundle still needs deployment and authenticated extraction, combined review-only batch, approved export and persistence checks. No live ChatGPT or Claude subscription inference has been tested or certified here.</w:t>
      </w:r>
    </w:p>
    <w:p>
      <w:pPr>
        <w:pStyle w:val="Heading2"/>
      </w:pPr>
      <w:r>
        <w:t>Release owner fill-in</w:t>
      </w:r>
    </w:p>
    <w:p>
      <w:pPr>
        <w:pStyle w:val="ListBullet"/>
      </w:pPr>
      <w:r>
        <w:t>Revision: access hotfix 00005-zdk deployed; current feature bundle deployment/verification PENDING</w:t>
      </w:r>
    </w:p>
    <w:p>
      <w:pPr>
        <w:pStyle w:val="ListBullet"/>
      </w:pPr>
      <w:r>
        <w:t>Repository tests: 148 passed; 0 skipped</w:t>
      </w:r>
    </w:p>
    <w:p>
      <w:pPr>
        <w:pStyle w:val="ListBullet"/>
      </w:pPr>
      <w:r>
        <w:t>PostgreSQL: included in the no-skip repository run</w:t>
      </w:r>
    </w:p>
    <w:p>
      <w:pPr>
        <w:pStyle w:val="ListBullet"/>
      </w:pPr>
      <w:r>
        <w:t>Ruff: clean</w:t>
      </w:r>
    </w:p>
    <w:p>
      <w:pPr>
        <w:pStyle w:val="ListBullet"/>
      </w:pPr>
      <w:r>
        <w:t>Browser: full Chromium workflow passed locally</w:t>
      </w:r>
    </w:p>
    <w:p>
      <w:pPr>
        <w:pStyle w:val="ListBullet"/>
      </w:pPr>
      <w:r>
        <w:t>Container/readers: all three Docker warmups passed in 63 s with two synthetic lines each; final feature image publication PENDING</w:t>
      </w:r>
    </w:p>
    <w:p>
      <w:pPr>
        <w:pStyle w:val="ListBullet"/>
      </w:pPr>
      <w:r>
        <w:t>Native, AI off: 15/15 PDFs; 570/570 lines; 3,990/3,990 tested line fields exact for one layout family</w:t>
      </w:r>
    </w:p>
    <w:p>
      <w:pPr>
        <w:pStyle w:val="ListBullet"/>
      </w:pPr>
      <w:r>
        <w:t>Paddle, AI off: 6/6 lines; conservative 60/66 = 90.91% floor with all descriptions treated unproven</w:t>
      </w:r>
    </w:p>
    <w:p>
      <w:pPr>
        <w:pStyle w:val="ListBullet"/>
      </w:pPr>
      <w:r>
        <w:t>Docling, AI off: bounded native examples work; ten-page timeout and three scan failures unresolved</w:t>
      </w:r>
    </w:p>
    <w:p>
      <w:pPr>
        <w:pStyle w:val="ListBullet"/>
      </w:pPr>
      <w:r>
        <w:t>Managed Vertex: 15 documents/570 lines, all source-tested fields exact for one layout family; calculated usage USD 0.3719325</w:t>
      </w:r>
    </w:p>
    <w:p>
      <w:pPr>
        <w:pStyle w:val="ListBullet"/>
      </w:pPr>
      <w:r>
        <w:t>Private catalog: 412,139-row source profile; hosted import paused/cancelling; live lookup 0 rows</w:t>
      </w:r>
    </w:p>
    <w:p>
      <w:pPr>
        <w:pStyle w:val="ListBullet"/>
      </w:pPr>
      <w:r>
        <w:t>Hosted authenticated extension smoke: access flow passed; full current feature smoke PENDING</w:t>
      </w:r>
    </w:p>
    <w:p>
      <w:r>
        <w:br w:type="page"/>
      </w:r>
    </w:p>
    <w:p>
      <w:pPr>
        <w:pStyle w:val="Heading1"/>
      </w:pPr>
      <w:r>
        <w:t>Invoice Studio delivery stories</w:t>
      </w:r>
    </w:p>
    <w:p>
      <w:r>
        <w:t>Status distinguishes verified local behavior from business-data acceptance and proposed expansion. Estimates and production gates are in the solution design.</w:t>
      </w:r>
    </w:p>
    <w:p>
      <w:pPr>
        <w:pStyle w:val="Heading2"/>
      </w:pPr>
      <w:r>
        <w:t>INV-01 · Select and confirm an invoice batch</w:t>
      </w:r>
    </w:p>
    <w:p>
      <w:r>
        <w:t>As an AP operator, I want to choose several invoices and confirm the processing rules, so I know which files, data and reader will be used.</w:t>
      </w:r>
    </w:p>
    <w:p>
      <w:r>
        <w:t>Status: Local and hosted processing gate verified.</w:t>
      </w:r>
    </w:p>
    <w:p>
      <w:pPr>
        <w:pStyle w:val="ListBullet"/>
      </w:pPr>
      <w:r>
        <w:t>Cancel sends no invoice-processing request.</w:t>
      </w:r>
    </w:p>
    <w:p>
      <w:pPr>
        <w:pStyle w:val="ListBullet"/>
      </w:pPr>
      <w:r>
        <w:t>A confirmed plan is bound to filenames/sizes, engine/model, reference version and tolerances.</w:t>
      </w:r>
    </w:p>
    <w:p>
      <w:pPr>
        <w:pStyle w:val="ListBullet"/>
      </w:pPr>
      <w:r>
        <w:t>Changed rules require a fresh confirmation.</w:t>
      </w:r>
    </w:p>
    <w:p>
      <w:pPr>
        <w:pStyle w:val="ListBullet"/>
      </w:pPr>
      <w:r>
        <w:t>Each file becomes one invoice job; up to two run concurrently and the rest remain visibly queued.</w:t>
      </w:r>
    </w:p>
    <w:p>
      <w:pPr>
        <w:pStyle w:val="Heading2"/>
      </w:pPr>
      <w:r>
        <w:t>INV-02 · Read digital invoices and scans</w:t>
      </w:r>
    </w:p>
    <w:p>
      <w:r>
        <w:t>As an AP operator, I want to extract headers and every item line from supported files, so I avoid retyping supplier documents.</w:t>
      </w:r>
    </w:p>
    <w:p>
      <w:r>
        <w:t>Status: Local paths measured; broad 95% quality and current hosted deployment remain pending.</w:t>
      </w:r>
    </w:p>
    <w:p>
      <w:pPr>
        <w:pStyle w:val="ListBullet"/>
      </w:pPr>
      <w:r>
        <w:t>Native AI-off conversion recovered 570/570 lines and 3,990/3,990 tested line facts on one 15-PDF layout family. Paddle's conservative floor is 60/66 (90.91%) with descriptions unproven. Docling works on bounded native tables but failed the ten-page and scan cases recorded in validation.</w:t>
      </w:r>
    </w:p>
    <w:p>
      <w:pPr>
        <w:pStyle w:val="ListBullet"/>
      </w:pPr>
      <w:r>
        <w:t>A readable PDF with no matching supplier template keeps native text and skips expensive image OCR. Conservative layout rules require an invoice heading, reject purchase orders, extract only explicit labels/spatial rows and never infer internal business codes or header totals.</w:t>
      </w:r>
    </w:p>
    <w:p>
      <w:pPr>
        <w:pStyle w:val="ListBullet"/>
      </w:pPr>
      <w:r>
        <w:t>The job view names the active stage rather than presenting extraction as one opaque wait.</w:t>
      </w:r>
    </w:p>
    <w:p>
      <w:pPr>
        <w:pStyle w:val="ListBullet"/>
      </w:pPr>
      <w:r>
        <w:t>Unread or incomplete output records an explainable reader trace.</w:t>
      </w:r>
    </w:p>
    <w:p>
      <w:pPr>
        <w:pStyle w:val="ListBullet"/>
      </w:pPr>
      <w:r>
        <w:t>Unsupported, encrypted, oversized and multi-invoice files receive a clear exception or split instruction.</w:t>
      </w:r>
    </w:p>
    <w:p>
      <w:pPr>
        <w:pStyle w:val="Heading2"/>
      </w:pPr>
      <w:r>
        <w:t>INV-03 · Use a chosen AI connection for exceptions</w:t>
      </w:r>
    </w:p>
    <w:p>
      <w:r>
        <w:t>As an AP operator, I want to select a provider/model and enable automatic fallback, so unfamiliar layouts can be proposed for review.</w:t>
      </w:r>
    </w:p>
    <w:p>
      <w:r>
        <w:t>Status: Adapter contracts and a narrow 15-document/570-line source check passed; representative accuracy and current hosted deployment remain pending.</w:t>
      </w:r>
    </w:p>
    <w:p>
      <w:pPr>
        <w:pStyle w:val="ListBullet"/>
      </w:pPr>
      <w:r>
        <w:t>Managed Vertex uses the hosted workspace service identity and project billing; API/subscription options remain selectable. AI is called only after explicit selection/confirmed fallback and local extraction failure or incompleteness.</w:t>
      </w:r>
    </w:p>
    <w:p>
      <w:pPr>
        <w:pStyle w:val="ListBullet"/>
      </w:pPr>
      <w:r>
        <w:t>Provider output must pass the strict invoice schema; missing facts remain missing.</w:t>
      </w:r>
    </w:p>
    <w:p>
      <w:pPr>
        <w:pStyle w:val="ListBullet"/>
      </w:pPr>
      <w:r>
        <w:t>Credentials never appear in browser storage, exported files or ordinary API errors.</w:t>
      </w:r>
    </w:p>
    <w:p>
      <w:pPr>
        <w:pStyle w:val="ListBullet"/>
      </w:pPr>
      <w:r>
        <w:t>Claude setup-token and move-only ChatGPT owner-transfer paths remain subject to live account eligibility and release validation; mocked adapters do not prove subscription inference.</w:t>
      </w:r>
    </w:p>
    <w:p>
      <w:pPr>
        <w:pStyle w:val="ListBullet"/>
      </w:pPr>
      <w:r>
        <w:t>The measured one-layout result cannot establish the expected 95% across suppliers, scans, languages and lengths. Frozen held-out gold still governs acceptance.</w:t>
      </w:r>
    </w:p>
    <w:p>
      <w:pPr>
        <w:pStyle w:val="Heading2"/>
      </w:pPr>
      <w:r>
        <w:t>INV-04 · Map and approve business reference extracts</w:t>
      </w:r>
    </w:p>
    <w:p>
      <w:r>
        <w:t>As an data steward, I want to profile the whole item and PO/GRN files and approve explicit mappings, so the validator uses evidence with known meaning.</w:t>
      </w:r>
    </w:p>
    <w:p>
      <w:r>
        <w:t>Status: The private source profile contains 412,139 rows; hosted import is paused/cancelling and live lookup availability is unconfirmed.</w:t>
      </w:r>
    </w:p>
    <w:p>
      <w:pPr>
        <w:pStyle w:val="ListBullet"/>
      </w:pPr>
      <w:r>
        <w:t>Preserve original bytes, hashes and row/column provenance; inspect all populated cells.</w:t>
      </w:r>
    </w:p>
    <w:p>
      <w:pPr>
        <w:pStyle w:val="ListBullet"/>
      </w:pPr>
      <w:r>
        <w:t>Separate unique matches, duplicates, ambiguous joins and missing fields.</w:t>
      </w:r>
    </w:p>
    <w:p>
      <w:pPr>
        <w:pStyle w:val="ListBullet"/>
      </w:pPr>
      <w:r>
        <w:t>Identifier and product-name searches show source/conflict context and require explicit confirmation; confirmed lookup evidence is not approved matching data.</w:t>
      </w:r>
    </w:p>
    <w:p>
      <w:pPr>
        <w:pStyle w:val="ListBullet"/>
      </w:pPr>
      <w:r>
        <w:t>Unknown seller/buyer/route, receipt acceptance and invoiced baseline block approval; never default them silently.</w:t>
      </w:r>
    </w:p>
    <w:p>
      <w:pPr>
        <w:pStyle w:val="Heading2"/>
      </w:pPr>
      <w:r>
        <w:t>INV-05 · Match the exact supplier route and items</w:t>
      </w:r>
    </w:p>
    <w:p>
      <w:r>
        <w:t>As an AP operator, I want to check supplier, site, company, PO, item identity and unit, so an invoice cannot borrow approval from another market or entity.</w:t>
      </w:r>
    </w:p>
    <w:p>
      <w:r>
        <w:t>Status: Canonical matching implemented and tested.</w:t>
      </w:r>
    </w:p>
    <w:p>
      <w:pPr>
        <w:pStyle w:val="ListBullet"/>
      </w:pPr>
      <w:r>
        <w:t>Domestic and cross-border routes require their exact approval tuple.</w:t>
      </w:r>
    </w:p>
    <w:p>
      <w:pPr>
        <w:pStyle w:val="ListBullet"/>
      </w:pPr>
      <w:r>
        <w:t>Conflicting SKU and barcode identity is held.</w:t>
      </w:r>
    </w:p>
    <w:p>
      <w:pPr>
        <w:pStyle w:val="ListBullet"/>
      </w:pPr>
      <w:r>
        <w:t>Location type comes from an explicit reference field, not a numeric prefix.</w:t>
      </w:r>
    </w:p>
    <w:p>
      <w:pPr>
        <w:pStyle w:val="Heading2"/>
      </w:pPr>
      <w:r>
        <w:t>INV-06 · Protect receipt quantity and commercial controls</w:t>
      </w:r>
    </w:p>
    <w:p>
      <w:r>
        <w:t>As an finance owner, I want to check price, accepted receipt balance and tax with decimal rules, so we avoid incorrect or duplicate charges.</w:t>
      </w:r>
    </w:p>
    <w:p>
      <w:r>
        <w:t>Status: Implemented and tested.</w:t>
      </w:r>
    </w:p>
    <w:p>
      <w:pPr>
        <w:pStyle w:val="ListBullet"/>
      </w:pPr>
      <w:r>
        <w:t>Accepted receipts minus returns, external baseline and this app allocations determine available quantity.</w:t>
      </w:r>
    </w:p>
    <w:p>
      <w:pPr>
        <w:pStyle w:val="ListBullet"/>
      </w:pPr>
      <w:r>
        <w:t>Repeated lines and multiple invoices consume quantity cumulatively.</w:t>
      </w:r>
    </w:p>
    <w:p>
      <w:pPr>
        <w:pStyle w:val="ListBullet"/>
      </w:pPr>
      <w:r>
        <w:t>Tolerance and currency rounding are explicit; no credit or mixed-tax allocation is invented.</w:t>
      </w:r>
    </w:p>
    <w:p>
      <w:pPr>
        <w:pStyle w:val="Heading2"/>
      </w:pPr>
      <w:r>
        <w:t>INV-07 · Review evidence and resolve exceptions</w:t>
      </w:r>
    </w:p>
    <w:p>
      <w:r>
        <w:t>As an AP reviewer, I want to compare the source with editable fields and record review, so every exported value has checked evidence.</w:t>
      </w:r>
    </w:p>
    <w:p>
      <w:r>
        <w:t>Status: Implemented and browser verified.</w:t>
      </w:r>
    </w:p>
    <w:p>
      <w:pPr>
        <w:pStyle w:val="ListBullet"/>
      </w:pPr>
      <w:r>
        <w:t>Review confirmation cannot override validation holds.</w:t>
      </w:r>
    </w:p>
    <w:p>
      <w:pPr>
        <w:pStyle w:val="ListBullet"/>
      </w:pPr>
      <w:r>
        <w:t>Concurrent edits with stale revisions are rejected.</w:t>
      </w:r>
    </w:p>
    <w:p>
      <w:pPr>
        <w:pStyle w:val="ListBullet"/>
      </w:pPr>
      <w:r>
        <w:t>Rules changing during extraction prevent stale approval and require a new processing plan.</w:t>
      </w:r>
    </w:p>
    <w:p>
      <w:pPr>
        <w:pStyle w:val="ListBullet"/>
      </w:pPr>
      <w:r>
        <w:t>A manual draft created from an active job cannot alter the job revision, extracted invoice or review status.</w:t>
      </w:r>
    </w:p>
    <w:p>
      <w:pPr>
        <w:pStyle w:val="ListBullet"/>
      </w:pPr>
      <w:r>
        <w:t>Printed line net/tax amounts survive edits without changing printed unit price; there is no automatic repricing.</w:t>
      </w:r>
    </w:p>
    <w:p>
      <w:pPr>
        <w:pStyle w:val="Heading2"/>
      </w:pPr>
      <w:r>
        <w:t>INV-08 · Download combined review or approved workbooks</w:t>
      </w:r>
    </w:p>
    <w:p>
      <w:r>
        <w:t>As an AP operator, I want one combined workbook for saved processed invoices and a separate approved export, so review can move quickly without weakening controls.</w:t>
      </w:r>
    </w:p>
    <w:p>
      <w:r>
        <w:t>Status: Implemented and browser/workbook verified.</w:t>
      </w:r>
    </w:p>
    <w:p>
      <w:pPr>
        <w:pStyle w:val="ListBullet"/>
      </w:pPr>
      <w:r>
        <w:t>Header/Tax_Breakdown/Details have exactly 13/3/6 columns and no helper formulas.</w:t>
      </w:r>
    </w:p>
    <w:p>
      <w:pPr>
        <w:pStyle w:val="ListBullet"/>
      </w:pPr>
      <w:r>
        <w:t>Invoice transaction IDs are 1..N and consistent across all three sheets.</w:t>
      </w:r>
    </w:p>
    <w:p>
      <w:pPr>
        <w:pStyle w:val="ListBullet"/>
      </w:pPr>
      <w:r>
        <w:t>EXTRACTION_REVIEW_ONLY accepts saved processed records, keeps unknown codes blank and changes no job, approval, ledger or allocation.</w:t>
      </w:r>
    </w:p>
    <w:p>
      <w:pPr>
        <w:pStyle w:val="ListBullet"/>
      </w:pPr>
      <w:r>
        <w:t>Export rechecks and reserves quantities atomically; repeat download does not duplicate an allocation.</w:t>
      </w:r>
    </w:p>
    <w:p>
      <w:pPr>
        <w:pStyle w:val="Heading2"/>
      </w:pPr>
      <w:r>
        <w:t>INV-09 · Recover and audit local operations</w:t>
      </w:r>
    </w:p>
    <w:p>
      <w:r>
        <w:t>As a service owner, I want to retain sources, rule versions, edits and exports, so a failed reader or restart can be explained and retried.</w:t>
      </w:r>
    </w:p>
    <w:p>
      <w:r>
        <w:t>Status: Instance-replacement persistence verified; database backup restoration remains a production gate.</w:t>
      </w:r>
    </w:p>
    <w:p>
      <w:pPr>
        <w:pStyle w:val="ListBullet"/>
      </w:pPr>
      <w:r>
        <w:t>Restarted in-flight jobs visibly require retry; completed exports remain downloadable.</w:t>
      </w:r>
    </w:p>
    <w:p>
      <w:pPr>
        <w:pStyle w:val="ListBullet"/>
      </w:pPr>
      <w:r>
        <w:t>New audit events distinguish text read, fields extracted and extraction failed. The legacy extracted label says only that a reader run finished.</w:t>
      </w:r>
    </w:p>
    <w:p>
      <w:pPr>
        <w:pStyle w:val="ListBullet"/>
      </w:pPr>
      <w:r>
        <w:t>Export records include reference version, policy and allocations.</w:t>
      </w:r>
    </w:p>
    <w:p>
      <w:pPr>
        <w:pStyle w:val="ListBullet"/>
      </w:pPr>
      <w:r>
        <w:t>Recovery procedure preserves the database plus the corresponding encryption key.</w:t>
      </w:r>
    </w:p>
    <w:p>
      <w:pPr>
        <w:pStyle w:val="Heading2"/>
      </w:pPr>
      <w:r>
        <w:t>INV-10 · Run a restricted cloud workspace</w:t>
      </w:r>
    </w:p>
    <w:p>
      <w:r>
        <w:t>As a workspace owner, I want to sign in to a Firebase frontend backed by durable GCP services, so the team can use a hosted portal without losing evidence on restart.</w:t>
      </w:r>
    </w:p>
    <w:p>
      <w:r>
        <w:t>Status: Hosted synthetic workflow and instance-replacement persistence verified.</w:t>
      </w:r>
    </w:p>
    <w:p>
      <w:pPr>
        <w:pStyle w:val="ListBullet"/>
      </w:pPr>
      <w:r>
        <w:t>Unauthenticated and non-allowlisted accounts cannot access invoices, references or connections.</w:t>
      </w:r>
    </w:p>
    <w:p>
      <w:pPr>
        <w:pStyle w:val="ListBullet"/>
      </w:pPr>
      <w:r>
        <w:t>Database and document evidence survive a replacement application instance.</w:t>
      </w:r>
    </w:p>
    <w:p>
      <w:pPr>
        <w:pStyle w:val="ListBullet"/>
      </w:pPr>
      <w:r>
        <w:t>Live UI, auth rejection, synthetic extraction/export and persistence smoke checks pass before operational handoff.</w:t>
      </w:r>
    </w:p>
    <w:p>
      <w:pPr>
        <w:pStyle w:val="ListBullet"/>
      </w:pPr>
      <w:r>
        <w:t>Access hotfix 00005-zdk passed login, 31 retained jobs and sign-out; the complete current feature bundle still needs hosted verification.</w:t>
      </w:r>
    </w:p>
    <w:p>
      <w:pPr>
        <w:pStyle w:val="Heading2"/>
      </w:pPr>
      <w:r>
        <w:t>INV-11 · Qualify suppliers for a new store or market</w:t>
      </w:r>
    </w:p>
    <w:p>
      <w:r>
        <w:t>As a procurement owner, I want to reuse approved coverage and start discovery only for gaps, so store openings do not repeat every supplier task.</w:t>
      </w:r>
    </w:p>
    <w:p>
      <w:r>
        <w:t>Status: Proposed next product increment.</w:t>
      </w:r>
    </w:p>
    <w:p>
      <w:pPr>
        <w:pStyle w:val="ListBullet"/>
      </w:pPr>
      <w:r>
        <w:t>Same-market coverage reuses valid route facts with provenance/expiry.</w:t>
      </w:r>
    </w:p>
    <w:p>
      <w:pPr>
        <w:pStyle w:val="ListBullet"/>
      </w:pPr>
      <w:r>
        <w:t>New market or buying entity creates an explicit qualification case.</w:t>
      </w:r>
    </w:p>
    <w:p>
      <w:pPr>
        <w:pStyle w:val="ListBullet"/>
      </w:pPr>
      <w:r>
        <w:t>AI suggestions cannot approve a legal entity, route or commercial agreement.</w:t>
      </w:r>
    </w:p>
    <w:p>
      <w:pPr>
        <w:pStyle w:val="Heading2"/>
      </w:pPr>
      <w:r>
        <w:t>INV-12 · Normalize supplier items for buying and digital channels</w:t>
      </w:r>
    </w:p>
    <w:p>
      <w:r>
        <w:t>As an item-data steward, I want to turn varied supplier files into approved item identities and channel content, so purchasing and commerce teams can reuse a consistent catalog.</w:t>
      </w:r>
    </w:p>
    <w:p>
      <w:r>
        <w:t>Status: Proposed next product increment.</w:t>
      </w:r>
    </w:p>
    <w:p>
      <w:pPr>
        <w:pStyle w:val="ListBullet"/>
      </w:pPr>
      <w:r>
        <w:t>Supplier codes, internal items, barcodes, packaging and units have explicit mappings.</w:t>
      </w:r>
    </w:p>
    <w:p>
      <w:pPr>
        <w:pStyle w:val="ListBullet"/>
      </w:pPr>
      <w:r>
        <w:t>Conflicting identities and unit conversions need steward approval.</w:t>
      </w:r>
    </w:p>
    <w:p>
      <w:pPr>
        <w:pStyle w:val="ListBullet"/>
      </w:pPr>
      <w:r>
        <w:t>Channel-specific text, attributes, images and translations are versioned separately from purchasing identity.</w:t>
      </w:r>
    </w:p>
    <w:p>
      <w:pPr>
        <w:pStyle w:val="Heading2"/>
      </w:pPr>
      <w:r>
        <w:t>INV-13 · Download an explicitly unvalidated manual draft</w:t>
      </w:r>
    </w:p>
    <w:p>
      <w:r>
        <w:t>As an AP operator, I want to edit every target workbook field and download a draft while OCR is still running, so urgent manual work is not blocked by a slow reader.</w:t>
      </w:r>
    </w:p>
    <w:p>
      <w:r>
        <w:t>Status: Implemented and locally browser/workbook verified; hosted release validation pending.</w:t>
      </w:r>
    </w:p>
    <w:p>
      <w:pPr>
        <w:pStyle w:val="ListBullet"/>
      </w:pPr>
      <w:r>
        <w:t>Header/Tax_Breakdown/Details expose exactly 13/3/6 editable fields with one joined transaction, leading-zero-safe identifiers and Decimal arithmetic.</w:t>
      </w:r>
    </w:p>
    <w:p>
      <w:pPr>
        <w:pStyle w:val="ListBullet"/>
      </w:pPr>
      <w:r>
        <w:t>Download requires an explicit unvalidated acknowledgement and the filename, workbook properties and cell comments say DRAFT_UNVALIDATED and no receipt reservation.</w:t>
      </w:r>
    </w:p>
    <w:p>
      <w:pPr>
        <w:pStyle w:val="ListBullet"/>
      </w:pPr>
      <w:r>
        <w:t>Draft creation does not read the active extraction payload, approve a reference, change job status/revision/invoice, write the approved export ledger or reserve receipt quantity.</w:t>
      </w:r>
    </w:p>
    <w:p>
      <w:pPr>
        <w:pStyle w:val="Heading2"/>
      </w:pPr>
      <w:r>
        <w:t>INV-14 · Search large source extracts without implying approval</w:t>
      </w:r>
    </w:p>
    <w:p>
      <w:r>
        <w:t>As a data steward, I want to search actual item and PO sources by identifier or product name, so I can find evidence without loading unapproved rows into canonical matching.</w:t>
      </w:r>
    </w:p>
    <w:p>
      <w:r>
        <w:t>Status: The 412,139-row private source profile is known, but hosted import is paused/cancelling and live lookup reports zero rows.</w:t>
      </w:r>
    </w:p>
    <w:p>
      <w:pPr>
        <w:pStyle w:val="ListBullet"/>
      </w:pPr>
      <w:r>
        <w:t>Results retain source row and conflict/duplicate context, with filters and bounded pagination.</w:t>
      </w:r>
    </w:p>
    <w:p>
      <w:pPr>
        <w:pStyle w:val="ListBullet"/>
      </w:pPr>
      <w:r>
        <w:t>The operator explicitly confirms a selected result before it can populate the manual workspace.</w:t>
      </w:r>
    </w:p>
    <w:p>
      <w:pPr>
        <w:pStyle w:val="ListBullet"/>
      </w:pPr>
      <w:r>
        <w:t>Summary, search and confirmation state clearly that source evidence is not approved for matching, receipt allocation or export readiness.</w:t>
      </w:r>
    </w:p>
    <w:p>
      <w:pPr>
        <w:pStyle w:val="Heading2"/>
      </w:pPr>
      <w:r>
        <w:t>INV-15 · Move an owner subscription connection to the hosted workspace</w:t>
      </w:r>
    </w:p>
    <w:p>
      <w:r>
        <w:t>As a workspace owner, I want to connect the restricted Claude CLI or move my ChatGPT registration into my authenticated hosted workspace, so the provider can use my authorized account without sharing a raw secret through the browser state.</w:t>
      </w:r>
    </w:p>
    <w:p>
      <w:r>
        <w:t>Status: Connection and transfer controls are implemented in source; live subscription inference, release validation and hosted deployment pending.</w:t>
      </w:r>
    </w:p>
    <w:p>
      <w:pPr>
        <w:pStyle w:val="ListBullet"/>
      </w:pPr>
      <w:r>
        <w:t>Claude setup tokens are encrypted, omitted from state, removable, and supplied only to the restricted server CLI with tools disabled.</w:t>
      </w:r>
    </w:p>
    <w:p>
      <w:pPr>
        <w:pStyle w:val="ListBullet"/>
      </w:pPr>
      <w:r>
        <w:t>ChatGPT starts local OAuth under the application's own registration; successful export constructs a one-time bundle, deletes local encrypted credentials, disconnects and clears the active local account.</w:t>
      </w:r>
    </w:p>
    <w:p>
      <w:pPr>
        <w:pStyle w:val="ListBullet"/>
      </w:pPr>
      <w:r>
        <w:t>Only an authenticated cloud owner can import and verify the bundle. Export is denied in cloud mode, import is denied locally, and no test result implies provider eligibility or live inference quality.</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Inv Studio • Implementation and acceptance guide • Synthetic examples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C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2C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2C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C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