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INV STUDIO</w:t>
      </w:r>
    </w:p>
    <w:p>
      <w:pPr>
        <w:pStyle w:val="Title"/>
      </w:pPr>
      <w:r>
        <w:t>From supplier invoice</w:t>
        <w:br/>
        <w:t>to checked Excel</w:t>
      </w:r>
    </w:p>
    <w:p>
      <w:pPr>
        <w:pStyle w:val="Subtitle"/>
      </w:pPr>
      <w:r>
        <w:t>Solution design • operating model • build stories</w:t>
      </w:r>
    </w:p>
    <w:p>
      <w:r>
        <w:t>4 October 2026</w:t>
        <w:br/>
        <w:t>Local MVP verified on synthetic examples. Cloud deployment and business-reference acceptance have separate release gates.</w:t>
      </w:r>
    </w:p>
    <w:p>
      <w:r>
        <w:t>For senior leaders, product owners, AP operators and the engineering team. Read the decision and process first; use the data contract and stories when building or accepting a release.</w:t>
      </w:r>
    </w:p>
    <w:p>
      <w:r>
        <w:br w:type="page"/>
      </w:r>
    </w:p>
    <w:p>
      <w:pPr>
        <w:pStyle w:val="Heading1"/>
      </w:pPr>
      <w:r>
        <w:t>Invoice first. A supplier platform next.</w:t>
      </w:r>
    </w:p>
    <w:p>
      <w:r>
        <w:t>Decision document • 4 October 2026 • Local MVP and proposed production roadmap</w:t>
      </w:r>
    </w:p>
    <w:p>
      <w:pPr>
        <w:pStyle w:val="Heading2"/>
      </w:pPr>
      <w:r>
        <w:t>The decision</w:t>
      </w:r>
    </w:p>
    <w:p>
      <w:r>
        <w:t>Build the invoice control, matching and review product in house. Reuse maintained document readers instead of training a new OCR model first. Keep AI replaceable. The lasting product value is knowing which supplier, site, company, item, purchase order and receipt a document belongs to, and showing why a proposed Excel row is safe to produce.</w:t>
      </w:r>
    </w:p>
    <w:p>
      <w:r>
        <w:t>The first release removes rekeying where evidence is available. It does not remove the need for a person to resolve missing or contradictory evidence. A complete-looking answer from AI is not proof that goods were received or that a supplier is approved.</w:t>
      </w:r>
    </w:p>
    <w:p>
      <w:pPr>
        <w:pStyle w:val="Heading2"/>
      </w:pPr>
      <w:r>
        <w:t>A normal day in the new process</w:t>
      </w:r>
    </w:p>
    <w:p>
      <w:r>
        <w:t>An accounts-payable operator selects a batch of invoices. The portal shows the reference version, reader, fallback provider and price/total rules. The operator confirms those choices once for the batch. Each file gets its own job, so a poor scan does not hide the progress of other invoices.</w:t>
      </w:r>
    </w:p>
    <w:p>
      <w:r>
        <w:t>The readers propose invoice fields and lines. The application uses a known PO to fill missing internal identifiers only when that PO has one unambiguous record. It records the source of each derived value. It matches item identifiers within the supplier site, checks prices and units, and compares quantities with accepted receipts after returns and previous allocations.</w:t>
      </w:r>
    </w:p>
    <w:p>
      <w:r>
        <w:t>The operator sees the document, extracted fields, reader trace and reasons for any hold. After correction and evidence review, the application validates again. Selected ready invoices become one Excel workbook. Invoice 1 has transaction number 1 in Header, Tax_Breakdown and Details; invoice 2 has transaction number 2 throughout. Export and quantity allocation happen in one database transaction.</w:t>
      </w:r>
    </w:p>
    <w:p>
      <w:pPr>
        <w:pStyle w:val="Heading2"/>
      </w:pPr>
      <w:r>
        <w:t>What has been built</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Capability</w:t>
            </w:r>
          </w:p>
        </w:tc>
        <w:tc>
          <w:tcPr>
            <w:tcW w:type="dxa" w:w="2880"/>
          </w:tcPr>
          <w:p>
            <w:r>
              <w:t>Current delivery</w:t>
            </w:r>
          </w:p>
        </w:tc>
        <w:tc>
          <w:tcPr>
            <w:tcW w:type="dxa" w:w="2880"/>
          </w:tcPr>
          <w:p>
            <w:r>
              <w:t>Next gate</w:t>
            </w:r>
          </w:p>
        </w:tc>
      </w:tr>
      <w:tr>
        <w:tc>
          <w:tcPr>
            <w:tcW w:type="dxa" w:w="2880"/>
          </w:tcPr>
          <w:p>
            <w:r>
              <w:t>Multiple invoice files</w:t>
            </w:r>
          </w:p>
        </w:tc>
        <w:tc>
          <w:tcPr>
            <w:tcW w:type="dxa" w:w="2880"/>
          </w:tcPr>
          <w:p>
            <w:r>
              <w:t>Local portal, guarded processing, queue and editable review</w:t>
            </w:r>
          </w:p>
        </w:tc>
        <w:tc>
          <w:tcPr>
            <w:tcW w:type="dxa" w:w="2880"/>
          </w:tcPr>
          <w:p>
            <w:r>
              <w:t>Representative supplier-format evaluation</w:t>
            </w:r>
          </w:p>
        </w:tc>
      </w:tr>
      <w:tr>
        <w:tc>
          <w:tcPr>
            <w:tcW w:type="dxa" w:w="2880"/>
          </w:tcPr>
          <w:p>
            <w:r>
              <w:t>Document reading</w:t>
            </w:r>
          </w:p>
        </w:tc>
        <w:tc>
          <w:tcPr>
            <w:tcW w:type="dxa" w:w="2880"/>
          </w:tcPr>
          <w:p>
            <w:r>
              <w:t>invoice2data, PaddleOCR and Docling installed and exercised on synthetic documents</w:t>
            </w:r>
          </w:p>
        </w:tc>
        <w:tc>
          <w:tcPr>
            <w:tcW w:type="dxa" w:w="2880"/>
          </w:tcPr>
          <w:p>
            <w:r>
              <w:t>Benchmark real languages, scans and layouts</w:t>
            </w:r>
          </w:p>
        </w:tc>
      </w:tr>
      <w:tr>
        <w:tc>
          <w:tcPr>
            <w:tcW w:type="dxa" w:w="2880"/>
          </w:tcPr>
          <w:p>
            <w:r>
              <w:t>AI fallback</w:t>
            </w:r>
          </w:p>
        </w:tc>
        <w:tc>
          <w:tcPr>
            <w:tcW w:type="dxa" w:w="2880"/>
          </w:tcPr>
          <w:p>
            <w:r>
              <w:t>Provider adapters, model selection, structured responses and failure handling</w:t>
            </w:r>
          </w:p>
        </w:tc>
        <w:tc>
          <w:tcPr>
            <w:tcW w:type="dxa" w:w="2880"/>
          </w:tcPr>
          <w:p>
            <w:r>
              <w:t>Live account connection and measured cost/accuracy</w:t>
            </w:r>
          </w:p>
        </w:tc>
      </w:tr>
      <w:tr>
        <w:tc>
          <w:tcPr>
            <w:tcW w:type="dxa" w:w="2880"/>
          </w:tcPr>
          <w:p>
            <w:r>
              <w:t>Matching</w:t>
            </w:r>
          </w:p>
        </w:tc>
        <w:tc>
          <w:tcPr>
            <w:tcW w:type="dxa" w:w="2880"/>
          </w:tcPr>
          <w:p>
            <w:r>
              <w:t>Deterministic supplier/site/route/PO/item/receipt/tax rules</w:t>
            </w:r>
          </w:p>
        </w:tc>
        <w:tc>
          <w:tcPr>
            <w:tcW w:type="dxa" w:w="2880"/>
          </w:tcPr>
          <w:p>
            <w:r>
              <w:t>Data-owner-approved reference snapshot</w:t>
            </w:r>
          </w:p>
        </w:tc>
      </w:tr>
      <w:tr>
        <w:tc>
          <w:tcPr>
            <w:tcW w:type="dxa" w:w="2880"/>
          </w:tcPr>
          <w:p>
            <w:r>
              <w:t>Excel</w:t>
            </w:r>
          </w:p>
        </w:tc>
        <w:tc>
          <w:tcPr>
            <w:tcW w:type="dxa" w:w="2880"/>
          </w:tcPr>
          <w:p>
            <w:r>
              <w:t>Exact three-sheet output and sequential transaction joins</w:t>
            </w:r>
          </w:p>
        </w:tc>
        <w:tc>
          <w:tcPr>
            <w:tcW w:type="dxa" w:w="2880"/>
          </w:tcPr>
          <w:p>
            <w:r>
              <w:t>Downstream import owner accepts a test batch</w:t>
            </w:r>
          </w:p>
        </w:tc>
      </w:tr>
      <w:tr>
        <w:tc>
          <w:tcPr>
            <w:tcW w:type="dxa" w:w="2880"/>
          </w:tcPr>
          <w:p>
            <w:r>
              <w:t>Business references</w:t>
            </w:r>
          </w:p>
        </w:tc>
        <w:tc>
          <w:tcPr>
            <w:tcW w:type="dxa" w:w="2880"/>
          </w:tcPr>
          <w:p>
            <w:r>
              <w:t>Canonical import and separate source-data profiling</w:t>
            </w:r>
          </w:p>
        </w:tc>
        <w:tc>
          <w:tcPr>
            <w:tcW w:type="dxa" w:w="2880"/>
          </w:tcPr>
          <w:p>
            <w:r>
              <w:t>Map large extracts, resolve missing scope and receipt semantics</w:t>
            </w:r>
          </w:p>
        </w:tc>
      </w:tr>
      <w:tr>
        <w:tc>
          <w:tcPr>
            <w:tcW w:type="dxa" w:w="2880"/>
          </w:tcPr>
          <w:p>
            <w:r>
              <w:t>Shared enterprise service</w:t>
            </w:r>
          </w:p>
        </w:tc>
        <w:tc>
          <w:tcPr>
            <w:tcW w:type="dxa" w:w="2880"/>
          </w:tcPr>
          <w:p>
            <w:r>
              <w:t>Design below</w:t>
            </w:r>
          </w:p>
        </w:tc>
        <w:tc>
          <w:tcPr>
            <w:tcW w:type="dxa" w:w="2880"/>
          </w:tcPr>
          <w:p>
            <w:r>
              <w:t>Authentication, durable workers, operational controls and load testing</w:t>
            </w:r>
          </w:p>
        </w:tc>
      </w:tr>
    </w:tbl>
    <w:p>
      <w:pPr>
        <w:pStyle w:val="Heading2"/>
      </w:pPr>
      <w:r>
        <w:t>Architecture</w:t>
      </w:r>
    </w:p>
    <w:p>
      <w:r>
        <w:t>Flow: Upload → Confirm rules → Read locally / AI fallback → Match references → Review evidence → Export and reserve quantities.</w:t>
      </w:r>
    </w:p>
    <w:p>
      <w:r>
        <w:t>The browser presents the workflow. FastAPI owns validation and export; no browser-side approval can bypass server rules. SQLite stores jobs, encrypted credentials, reference snapshots, audit events and the export ledger. Reader subprocesses have time limits and receive no application API keys. AI adapters receive only the invoice or extracted text required for reading, not the entire master-data database.</w:t>
      </w:r>
    </w:p>
    <w:p>
      <w:r>
        <w:t>For a shared production service, keep the same contracts but replace the local execution layer: identity provider and role-based access; object storage for source evidence; PostgreSQL for normalized reference records and the allocation ledger; a durable message queue and separate CPU/GPU worker pools; managed secret storage; versioned rules and mapping profiles. A relational transaction still reserves receipt quantities and records the export exactly once. Keep document extraction outside that transaction.</w:t>
      </w:r>
    </w:p>
    <w:p>
      <w:pPr>
        <w:pStyle w:val="Heading2"/>
      </w:pPr>
      <w:r>
        <w:t>Why these components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Job</w:t>
            </w:r>
          </w:p>
        </w:tc>
        <w:tc>
          <w:tcPr>
            <w:tcW w:type="dxa" w:w="2880"/>
          </w:tcPr>
          <w:p>
            <w:r>
              <w:t>Limitation and decision</w:t>
            </w:r>
          </w:p>
        </w:tc>
      </w:tr>
      <w:tr>
        <w:tc>
          <w:tcPr>
            <w:tcW w:type="dxa" w:w="2880"/>
          </w:tcPr>
          <w:p>
            <w:r>
              <w:t>invoice2data</w:t>
            </w:r>
          </w:p>
        </w:tc>
        <w:tc>
          <w:tcPr>
            <w:tcW w:type="dxa" w:w="2880"/>
          </w:tcPr>
          <w:p>
            <w:r>
              <w:t>Repeatable supplier templates and native text extraction</w:t>
            </w:r>
          </w:p>
        </w:tc>
        <w:tc>
          <w:tcPr>
            <w:tcW w:type="dxa" w:w="2880"/>
          </w:tcPr>
          <w:p>
            <w:r>
              <w:t>Best when layout is known; templates require maintenance. Use for predictable, inexpensive reading.</w:t>
            </w:r>
          </w:p>
        </w:tc>
      </w:tr>
      <w:tr>
        <w:tc>
          <w:tcPr>
            <w:tcW w:type="dxa" w:w="2880"/>
          </w:tcPr>
          <w:p>
            <w:r>
              <w:t>PaddleOCR</w:t>
            </w:r>
          </w:p>
        </w:tc>
        <w:tc>
          <w:tcPr>
            <w:tcW w:type="dxa" w:w="2880"/>
          </w:tcPr>
          <w:p>
            <w:r>
              <w:t>Read image text, coordinates and recognition scores</w:t>
            </w:r>
          </w:p>
        </w:tc>
        <w:tc>
          <w:tcPr>
            <w:tcW w:type="dxa" w:w="2880"/>
          </w:tcPr>
          <w:p>
            <w:r>
              <w:t>OCR text is not invoice semantics. Combine it with templates or structured AI extraction.</w:t>
            </w:r>
          </w:p>
        </w:tc>
      </w:tr>
      <w:tr>
        <w:tc>
          <w:tcPr>
            <w:tcW w:type="dxa" w:w="2880"/>
          </w:tcPr>
          <w:p>
            <w:r>
              <w:t>Docling</w:t>
            </w:r>
          </w:p>
        </w:tc>
        <w:tc>
          <w:tcPr>
            <w:tcW w:type="dxa" w:w="2880"/>
          </w:tcPr>
          <w:p>
            <w:r>
              <w:t>Convert document layout and tables into readable content</w:t>
            </w:r>
          </w:p>
        </w:tc>
        <w:tc>
          <w:tcPr>
            <w:tcW w:type="dxa" w:w="2880"/>
          </w:tcPr>
          <w:p>
            <w:r>
              <w:t>Tables can still merge or split incorrectly. Check line counts and arithmetic; never assume conversion is correct.</w:t>
            </w:r>
          </w:p>
        </w:tc>
      </w:tr>
      <w:tr>
        <w:tc>
          <w:tcPr>
            <w:tcW w:type="dxa" w:w="2880"/>
          </w:tcPr>
          <w:p>
            <w:r>
              <w:t>Selected AI</w:t>
            </w:r>
          </w:p>
        </w:tc>
        <w:tc>
          <w:tcPr>
            <w:tcW w:type="dxa" w:w="2880"/>
          </w:tcPr>
          <w:p>
            <w:r>
              <w:t>Recover unfamiliar layouts and propose structured fields</w:t>
            </w:r>
          </w:p>
        </w:tc>
        <w:tc>
          <w:tcPr>
            <w:tcW w:type="dxa" w:w="2880"/>
          </w:tcPr>
          <w:p>
            <w:r>
              <w:t>Model output is untrusted data. Require schema validation, exact reference matching and review.</w:t>
            </w:r>
          </w:p>
        </w:tc>
      </w:tr>
      <w:tr>
        <w:tc>
          <w:tcPr>
            <w:tcW w:type="dxa" w:w="2880"/>
          </w:tcPr>
          <w:p>
            <w:r>
              <w:t>Custom validation service</w:t>
            </w:r>
          </w:p>
        </w:tc>
        <w:tc>
          <w:tcPr>
            <w:tcW w:type="dxa" w:w="2880"/>
          </w:tcPr>
          <w:p>
            <w:r>
              <w:t>Supplier/site scope, item identity, receipts, rules and duplicate control</w:t>
            </w:r>
          </w:p>
        </w:tc>
        <w:tc>
          <w:tcPr>
            <w:tcW w:type="dxa" w:w="2880"/>
          </w:tcPr>
          <w:p>
            <w:r>
              <w:t>This is business logic that generic OCR cannot supply. Build and own it.</w:t>
            </w:r>
          </w:p>
        </w:tc>
      </w:tr>
      <w:tr>
        <w:tc>
          <w:tcPr>
            <w:tcW w:type="dxa" w:w="2880"/>
          </w:tcPr>
          <w:p>
            <w:r>
              <w:t>Custom Excel renderer</w:t>
            </w:r>
          </w:p>
        </w:tc>
        <w:tc>
          <w:tcPr>
            <w:tcW w:type="dxa" w:w="2880"/>
          </w:tcPr>
          <w:p>
            <w:r>
              <w:t>Preserve the receiving workbook contract</w:t>
            </w:r>
          </w:p>
        </w:tc>
        <w:tc>
          <w:tcPr>
            <w:tcW w:type="dxa" w:w="2880"/>
          </w:tcPr>
          <w:p>
            <w:r>
              <w:t>Generate typed cells from validated records; do not let AI write arbitrary workbook formulas.</w:t>
            </w:r>
          </w:p>
        </w:tc>
      </w:tr>
    </w:tbl>
    <w:p>
      <w:r>
        <w:t>The local engines are alternatives in an ordered pipeline, not three votes on truth. The application keeps a complete candidate from one reader rather than silently combining conflicting values. A completeness score means required fields are present and basic arithmetic reconciles; it is not a calibrated probability of correctness.</w:t>
      </w:r>
    </w:p>
    <w:p>
      <w:pPr>
        <w:pStyle w:val="Heading2"/>
      </w:pPr>
      <w:r>
        <w:t>Supplier and company model for the wider product</w:t>
      </w:r>
    </w:p>
    <w:p>
      <w:r>
        <w:t>A supplier legal entity is separate from its operational sites. An approved route connects a supplier site, buying legal entity, ship-from market, delivery market and invoice currency. A UAE supplier invoicing in AED for Kuwait delivery is therefore a different route from domestic UAE supply, even when the seller and currency are unchanged. An existing supplier name alone does not authorize that route.</w:t>
      </w:r>
    </w:p>
    <w:p>
      <w:r>
        <w:t>Items have internal identities, supplier-specific codes, GTINs, packaging and units. Digital-channel content should be versioned separately from purchasing identity: titles, translations, images, ingredients, attributes and channel requirements can change without changing the invoice matching key. Item discovery and fuzzy similarity can propose a match; a steward must approve an ambiguous identifier or unit conversion.</w:t>
      </w:r>
    </w:p>
    <w:p>
      <w:r>
        <w:t>For a new store in an existing market, search approved routes and assortment coverage first. For a new market, generate a discovery and qualification case: candidate suppliers, local entity/site checks, delivery capability, documentation and commercial review. Reuse verified facts with expiry dates and provenance; do not repeat every task or assume an approval transfers across markets. AI can assemble a shortlist and highlight gaps; procurement owns approval.</w:t>
      </w:r>
    </w:p>
    <w:p>
      <w:pPr>
        <w:pStyle w:val="Heading2"/>
      </w:pPr>
      <w:r>
        <w:t>Proposed 24-flow product map</w:t>
      </w:r>
    </w:p>
    <w:p>
      <w:r>
        <w:t>These are proposed coverage areas, not a claim that all earlier source processes have been implemented or independently verified.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Discover and approve</w:t>
            </w:r>
          </w:p>
        </w:tc>
        <w:tc>
          <w:tcPr>
            <w:tcW w:type="dxa" w:w="2160"/>
          </w:tcPr>
          <w:p>
            <w:r>
              <w:t>Prepare and buy</w:t>
            </w:r>
          </w:p>
        </w:tc>
        <w:tc>
          <w:tcPr>
            <w:tcW w:type="dxa" w:w="2160"/>
          </w:tcPr>
          <w:p>
            <w:r>
              <w:t>Receive and pay</w:t>
            </w:r>
          </w:p>
        </w:tc>
        <w:tc>
          <w:tcPr>
            <w:tcW w:type="dxa" w:w="2160"/>
          </w:tcPr>
          <w:p>
            <w:r>
              <w:t>Improve and govern</w:t>
            </w:r>
          </w:p>
        </w:tc>
      </w:tr>
      <w:tr>
        <w:tc>
          <w:tcPr>
            <w:tcW w:type="dxa" w:w="2160"/>
          </w:tcPr>
          <w:p>
            <w:r>
              <w:t>1. Store/market demand</w:t>
            </w:r>
          </w:p>
        </w:tc>
        <w:tc>
          <w:tcPr>
            <w:tcW w:type="dxa" w:w="2160"/>
          </w:tcPr>
          <w:p>
            <w:r>
              <w:t>7. Supplier item intake</w:t>
            </w:r>
          </w:p>
        </w:tc>
        <w:tc>
          <w:tcPr>
            <w:tcW w:type="dxa" w:w="2160"/>
          </w:tcPr>
          <w:p>
            <w:r>
              <w:t>13. Delivery evidence</w:t>
            </w:r>
          </w:p>
        </w:tc>
        <w:tc>
          <w:tcPr>
            <w:tcW w:type="dxa" w:w="2160"/>
          </w:tcPr>
          <w:p>
            <w:r>
              <w:t>19. Supplier performance</w:t>
            </w:r>
          </w:p>
        </w:tc>
      </w:tr>
      <w:tr>
        <w:tc>
          <w:tcPr>
            <w:tcW w:type="dxa" w:w="2160"/>
          </w:tcPr>
          <w:p>
            <w:r>
              <w:t>2. Existing coverage search</w:t>
            </w:r>
          </w:p>
        </w:tc>
        <w:tc>
          <w:tcPr>
            <w:tcW w:type="dxa" w:w="2160"/>
          </w:tcPr>
          <w:p>
            <w:r>
              <w:t>8. Item identity resolution</w:t>
            </w:r>
          </w:p>
        </w:tc>
        <w:tc>
          <w:tcPr>
            <w:tcW w:type="dxa" w:w="2160"/>
          </w:tcPr>
          <w:p>
            <w:r>
              <w:t>14. Receipt acceptance/returns</w:t>
            </w:r>
          </w:p>
        </w:tc>
        <w:tc>
          <w:tcPr>
            <w:tcW w:type="dxa" w:w="2160"/>
          </w:tcPr>
          <w:p>
            <w:r>
              <w:t>20. Expiring document renewal</w:t>
            </w:r>
          </w:p>
        </w:tc>
      </w:tr>
      <w:tr>
        <w:tc>
          <w:tcPr>
            <w:tcW w:type="dxa" w:w="2160"/>
          </w:tcPr>
          <w:p>
            <w:r>
              <w:t>3. Candidate discovery</w:t>
            </w:r>
          </w:p>
        </w:tc>
        <w:tc>
          <w:tcPr>
            <w:tcW w:type="dxa" w:w="2160"/>
          </w:tcPr>
          <w:p>
            <w:r>
              <w:t>9. Packaging/unit approval</w:t>
            </w:r>
          </w:p>
        </w:tc>
        <w:tc>
          <w:tcPr>
            <w:tcW w:type="dxa" w:w="2160"/>
          </w:tcPr>
          <w:p>
            <w:r>
              <w:t>15. Invoice capture</w:t>
            </w:r>
          </w:p>
        </w:tc>
        <w:tc>
          <w:tcPr>
            <w:tcW w:type="dxa" w:w="2160"/>
          </w:tcPr>
          <w:p>
            <w:r>
              <w:t>21. Reference stewardship</w:t>
            </w:r>
          </w:p>
        </w:tc>
      </w:tr>
      <w:tr>
        <w:tc>
          <w:tcPr>
            <w:tcW w:type="dxa" w:w="2160"/>
          </w:tcPr>
          <w:p>
            <w:r>
              <w:t>4. Legal entity/site onboarding</w:t>
            </w:r>
          </w:p>
        </w:tc>
        <w:tc>
          <w:tcPr>
            <w:tcW w:type="dxa" w:w="2160"/>
          </w:tcPr>
          <w:p>
            <w:r>
              <w:t>10. Digital content enrichment</w:t>
            </w:r>
          </w:p>
        </w:tc>
        <w:tc>
          <w:tcPr>
            <w:tcW w:type="dxa" w:w="2160"/>
          </w:tcPr>
          <w:p>
            <w:r>
              <w:t>16. PO/item/receipt matching</w:t>
            </w:r>
          </w:p>
        </w:tc>
        <w:tc>
          <w:tcPr>
            <w:tcW w:type="dxa" w:w="2160"/>
          </w:tcPr>
          <w:p>
            <w:r>
              <w:t>22. Exception analytics</w:t>
            </w:r>
          </w:p>
        </w:tc>
      </w:tr>
      <w:tr>
        <w:tc>
          <w:tcPr>
            <w:tcW w:type="dxa" w:w="2160"/>
          </w:tcPr>
          <w:p>
            <w:r>
              <w:t>5. Market/route qualification</w:t>
            </w:r>
          </w:p>
        </w:tc>
        <w:tc>
          <w:tcPr>
            <w:tcW w:type="dxa" w:w="2160"/>
          </w:tcPr>
          <w:p>
            <w:r>
              <w:t>11. Quote/price agreement</w:t>
            </w:r>
          </w:p>
        </w:tc>
        <w:tc>
          <w:tcPr>
            <w:tcW w:type="dxa" w:w="2160"/>
          </w:tcPr>
          <w:p>
            <w:r>
              <w:t>17. Dispute resolution</w:t>
            </w:r>
          </w:p>
        </w:tc>
        <w:tc>
          <w:tcPr>
            <w:tcW w:type="dxa" w:w="2160"/>
          </w:tcPr>
          <w:p>
            <w:r>
              <w:t>23. Access/audit management</w:t>
            </w:r>
          </w:p>
        </w:tc>
      </w:tr>
      <w:tr>
        <w:tc>
          <w:tcPr>
            <w:tcW w:type="dxa" w:w="2160"/>
          </w:tcPr>
          <w:p>
            <w:r>
              <w:t>6. Approval/renewal</w:t>
            </w:r>
          </w:p>
        </w:tc>
        <w:tc>
          <w:tcPr>
            <w:tcW w:type="dxa" w:w="2160"/>
          </w:tcPr>
          <w:p>
            <w:r>
              <w:t>12. PO creation/change</w:t>
            </w:r>
          </w:p>
        </w:tc>
        <w:tc>
          <w:tcPr>
            <w:tcW w:type="dxa" w:w="2160"/>
          </w:tcPr>
          <w:p>
            <w:r>
              <w:t>18. Excel/export/payment handoff</w:t>
            </w:r>
          </w:p>
        </w:tc>
        <w:tc>
          <w:tcPr>
            <w:tcW w:type="dxa" w:w="2160"/>
          </w:tcPr>
          <w:p>
            <w:r>
              <w:t>24. Rule and model evaluation</w:t>
            </w:r>
          </w:p>
        </w:tc>
      </w:tr>
    </w:tbl>
    <w:p>
      <w:pPr>
        <w:pStyle w:val="Heading2"/>
      </w:pPr>
      <w:r>
        <w:t>Delivery plan and people</w:t>
      </w:r>
    </w:p>
    <w:p>
      <w:r>
        <w:t>The estimates below are planning ranges, not measured delivery commitments. They assume reference owners are available and the first production scope stays with one invoice, one PO, one currency and one tax treatment per file.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Outcome and exit evidence</w:t>
            </w:r>
          </w:p>
        </w:tc>
        <w:tc>
          <w:tcPr>
            <w:tcW w:type="dxa" w:w="2880"/>
          </w:tcPr>
          <w:p>
            <w:r>
              <w:t>Indicative duration</w:t>
            </w:r>
          </w:p>
        </w:tc>
      </w:tr>
      <w:tr>
        <w:tc>
          <w:tcPr>
            <w:tcW w:type="dxa" w:w="2880"/>
          </w:tcPr>
          <w:p>
            <w:r>
              <w:t>Current local MVP</w:t>
            </w:r>
          </w:p>
        </w:tc>
        <w:tc>
          <w:tcPr>
            <w:tcW w:type="dxa" w:w="2880"/>
          </w:tcPr>
          <w:p>
            <w:r>
              <w:t>Real UI and matching/export path; synthetic automated and browser checks</w:t>
            </w:r>
          </w:p>
        </w:tc>
        <w:tc>
          <w:tcPr>
            <w:tcW w:type="dxa" w:w="2880"/>
          </w:tcPr>
          <w:p>
            <w:r>
              <w:t>Delivered in this repository</w:t>
            </w:r>
          </w:p>
        </w:tc>
      </w:tr>
      <w:tr>
        <w:tc>
          <w:tcPr>
            <w:tcW w:type="dxa" w:w="2880"/>
          </w:tcPr>
          <w:p>
            <w:r>
              <w:t>Data contract pilot</w:t>
            </w:r>
          </w:p>
        </w:tc>
        <w:tc>
          <w:tcPr>
            <w:tcW w:type="dxa" w:w="2880"/>
          </w:tcPr>
          <w:p>
            <w:r>
              <w:t>Full source profiles, explicit mappings, approved missing values, target workbook accepted</w:t>
            </w:r>
          </w:p>
        </w:tc>
        <w:tc>
          <w:tcPr>
            <w:tcW w:type="dxa" w:w="2880"/>
          </w:tcPr>
          <w:p>
            <w:r>
              <w:t>1–2 weeks</w:t>
            </w:r>
          </w:p>
        </w:tc>
      </w:tr>
      <w:tr>
        <w:tc>
          <w:tcPr>
            <w:tcW w:type="dxa" w:w="2880"/>
          </w:tcPr>
          <w:p>
            <w:r>
              <w:t>Supplier evaluation</w:t>
            </w:r>
          </w:p>
        </w:tc>
        <w:tc>
          <w:tcPr>
            <w:tcW w:type="dxa" w:w="2880"/>
          </w:tcPr>
          <w:p>
            <w:r>
              <w:t>At least 100 representative invoices across priority suppliers/languages; adjudicated field and line truth</w:t>
            </w:r>
          </w:p>
        </w:tc>
        <w:tc>
          <w:tcPr>
            <w:tcW w:type="dxa" w:w="2880"/>
          </w:tcPr>
          <w:p>
            <w:r>
              <w:t>2–3 weeks</w:t>
            </w:r>
          </w:p>
        </w:tc>
      </w:tr>
      <w:tr>
        <w:tc>
          <w:tcPr>
            <w:tcW w:type="dxa" w:w="2880"/>
          </w:tcPr>
          <w:p>
            <w:r>
              <w:t>Production pilot</w:t>
            </w:r>
          </w:p>
        </w:tc>
        <w:tc>
          <w:tcPr>
            <w:tcW w:type="dxa" w:w="2880"/>
          </w:tcPr>
          <w:p>
            <w:r>
              <w:t>Roles, durable queue, backups, monitoring, controlled UAT and measured savings</w:t>
            </w:r>
          </w:p>
        </w:tc>
        <w:tc>
          <w:tcPr>
            <w:tcW w:type="dxa" w:w="2880"/>
          </w:tcPr>
          <w:p>
            <w:r>
              <w:t>3–5 weeks</w:t>
            </w:r>
          </w:p>
        </w:tc>
      </w:tr>
      <w:tr>
        <w:tc>
          <w:tcPr>
            <w:tcW w:type="dxa" w:w="2880"/>
          </w:tcPr>
          <w:p>
            <w:r>
              <w:t>Supplier platform expansion</w:t>
            </w:r>
          </w:p>
        </w:tc>
        <w:tc>
          <w:tcPr>
            <w:tcW w:type="dxa" w:w="2880"/>
          </w:tcPr>
          <w:p>
            <w:r>
              <w:t>Discovery, route onboarding, item intake and channel-content workflows</w:t>
            </w:r>
          </w:p>
        </w:tc>
        <w:tc>
          <w:tcPr>
            <w:tcW w:type="dxa" w:w="2880"/>
          </w:tcPr>
          <w:p>
            <w:r>
              <w:t>Scope and estimate after invoice pilot</w:t>
            </w:r>
          </w:p>
        </w:tc>
      </w:tr>
    </w:tbl>
    <w:p>
      <w:r>
        <w:t>A practical pilot team is one product/process owner, one AP expert, a reference-data steward, two engineers, and part-time QA/platform support. AI/ML expertise helps with evaluation and difficult layouts; a bespoke model-training team is not the initial dependency. These roles may overlap, but the people who approve reference meanings must be named.</w:t>
      </w:r>
    </w:p>
    <w:p>
      <w:r>
        <w:t>Size using measured pages and latency: required worker-hours = documents × average processing seconds ÷ 3,600. Add headroom for retries and model download/startup. AI cost = fallback documents × measured average input/output token cost. Keep an explicit monthly cap and record fallback share, tokens and latency. No universal accuracy or cost claim is made before the representative evaluation.</w:t>
      </w:r>
    </w:p>
    <w:p>
      <w:pPr>
        <w:pStyle w:val="Heading2"/>
      </w:pPr>
      <w:r>
        <w:t>Decisions to settle during the pilot</w:t>
      </w:r>
    </w:p>
    <w:p>
      <w:r>
        <w:t>1. Which source field proves receipt acceptance, and which represents cumulative already-invoiced quantity outside this application?</w:t>
      </w:r>
    </w:p>
    <w:p>
      <w:r>
        <w:t>2. Which entity owns each buying company, supplier site, market route and tax rule?</w:t>
      </w:r>
    </w:p>
    <w:p>
      <w:r>
        <w:t>3. Which invoice formats, languages and edge cases are in the initial business acceptance set?</w:t>
      </w:r>
    </w:p>
    <w:p>
      <w:r>
        <w:t>4. Which provider/account may receive invoice content, and what retention and budget settings apply?</w:t>
      </w:r>
    </w:p>
    <w:p>
      <w:r>
        <w:t>5. Who signs off the generated workbook against the receiving process?</w:t>
      </w:r>
    </w:p>
    <w:p>
      <w:r>
        <w:t>These are business-data decisions. They do not prevent local reading or a synthetic demonstration; they prevent claiming that a real invoice is ready when evidence is absent.</w:t>
      </w:r>
    </w:p>
    <w:p>
      <w:pPr>
        <w:pStyle w:val="Heading2"/>
      </w:pPr>
      <w:r>
        <w:t>Source references</w:t>
      </w:r>
    </w:p>
    <w:p>
      <w:r>
        <w:t>Implementation choices should be rechecked when dependencies or provider interfaces change. Primary sources used for this build:</w:t>
      </w:r>
    </w:p>
    <w:p>
      <w:pPr>
        <w:pStyle w:val="ListBullet"/>
      </w:pPr>
      <w:r>
        <w:t>invoice2data code and templates.</w:t>
      </w:r>
    </w:p>
    <w:p>
      <w:pPr>
        <w:pStyle w:val="ListBullet"/>
      </w:pPr>
      <w:r>
        <w:t>PaddleOCR code and model documentation.</w:t>
      </w:r>
    </w:p>
    <w:p>
      <w:pPr>
        <w:pStyle w:val="ListBullet"/>
      </w:pPr>
      <w:r>
        <w:t>Docling code and supported conversion workflow.</w:t>
      </w:r>
    </w:p>
    <w:p>
      <w:pPr>
        <w:pStyle w:val="ListBullet"/>
      </w:pPr>
      <w:r>
        <w:t>OpenAI structured outputs and file inputs.</w:t>
      </w:r>
    </w:p>
    <w:p>
      <w:pPr>
        <w:pStyle w:val="ListBullet"/>
      </w:pPr>
      <w:r>
        <w:t>Official ChatGPT token sharing for open-source/local applications.</w:t>
      </w:r>
    </w:p>
    <w:p>
      <w:pPr>
        <w:pStyle w:val="ListBullet"/>
      </w:pPr>
      <w:r>
        <w:t>Anthropic structured outputs and PDF support.</w:t>
      </w:r>
    </w:p>
    <w:p>
      <w:pPr>
        <w:pStyle w:val="ListBullet"/>
      </w:pPr>
      <w:r>
        <w:t>Claude CLI reference and Claude-plan SDK policy. Account availability and provider policy must be checked at connection time.</w:t>
      </w:r>
    </w:p>
    <w:p>
      <w:r>
        <w:br w:type="page"/>
      </w:r>
    </w:p>
    <w:p>
      <w:pPr>
        <w:pStyle w:val="Heading1"/>
      </w:pPr>
      <w:r>
        <w:t>Reference data and Excel contract</w:t>
      </w:r>
    </w:p>
    <w:p>
      <w:pPr>
        <w:pStyle w:val="Heading2"/>
      </w:pPr>
      <w:r>
        <w:t>Keep three types of data separate</w:t>
      </w:r>
    </w:p>
    <w:p>
      <w:r>
        <w:t>An invoice states what the supplier is charging. Reference data identifies approved suppliers, items, orders and accepted receipts. The target workbook is the output format. A completed target workbook is valuable for checking columns and types, but it does not prove supplier approval, a purchase order balance or receipt acceptance.</w:t>
      </w:r>
    </w:p>
    <w:p>
      <w:r>
        <w:t>Identifiers are stored as strings, preserving leading zeros. Strip surrounding Unicode whitespace; do not remove internal characters or coerce identifiers through floating-point numbers. Money and quantities use decimal arithmetic. Dates must resolve to ISO YYYY-MM-DD before export. Ambiguous dates need review.</w:t>
      </w:r>
    </w:p>
    <w:p>
      <w:pPr>
        <w:pStyle w:val="Heading2"/>
      </w:pPr>
      <w:r>
        <w:t>Canonical reference import</w:t>
      </w:r>
    </w:p>
    <w:p>
      <w:r>
        <w:t>Download the populated synthetic template, replace its contents with approved records, and retain its exact headers. JSON equivalents use the keys below. ODS uses the same seven sheet names. Imports validate joins and duplicate keys before replacing the active snapshot. Changing a snapshot invalidates all unexported reviews and pending processing plans.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Sheet / JSON key</w:t>
            </w:r>
          </w:p>
        </w:tc>
        <w:tc>
          <w:tcPr>
            <w:tcW w:type="dxa" w:w="2880"/>
          </w:tcPr>
          <w:p>
            <w:r>
              <w:t>Required columns</w:t>
            </w:r>
          </w:p>
        </w:tc>
        <w:tc>
          <w:tcPr>
            <w:tcW w:type="dxa" w:w="2880"/>
          </w:tcPr>
          <w:p>
            <w:r>
              <w:t>Meaning</w:t>
            </w:r>
          </w:p>
        </w:tc>
      </w:tr>
      <w:tr>
        <w:tc>
          <w:tcPr>
            <w:tcW w:type="dxa" w:w="2880"/>
          </w:tcPr>
          <w:p>
            <w:r>
              <w:t>Suppliers / sites</w:t>
            </w:r>
          </w:p>
        </w:tc>
        <w:tc>
          <w:tcPr>
            <w:tcW w:type="dxa" w:w="2880"/>
          </w:tcPr>
          <w:p>
            <w:r>
              <w:t>id, seller, name, country</w:t>
            </w:r>
          </w:p>
        </w:tc>
        <w:tc>
          <w:tcPr>
            <w:tcW w:type="dxa" w:w="2880"/>
          </w:tcPr>
          <w:p>
            <w:r>
              <w:t>Operational site ID, supplier legal entity ID, approved invoice-facing name, country</w:t>
            </w:r>
          </w:p>
        </w:tc>
      </w:tr>
      <w:tr>
        <w:tc>
          <w:tcPr>
            <w:tcW w:type="dxa" w:w="2880"/>
          </w:tcPr>
          <w:p>
            <w:r>
              <w:t>Routes / routes</w:t>
            </w:r>
          </w:p>
        </w:tc>
        <w:tc>
          <w:tcPr>
            <w:tcW w:type="dxa" w:w="2880"/>
          </w:tcPr>
          <w:p>
            <w:r>
              <w:t>site, buyer, origin, market, currency, status</w:t>
            </w:r>
          </w:p>
        </w:tc>
        <w:tc>
          <w:tcPr>
            <w:tcW w:type="dxa" w:w="2880"/>
          </w:tcPr>
          <w:p>
            <w:r>
              <w:t>Full commercial route; only approved is usable</w:t>
            </w:r>
          </w:p>
        </w:tc>
      </w:tr>
      <w:tr>
        <w:tc>
          <w:tcPr>
            <w:tcW w:type="dxa" w:w="2880"/>
          </w:tcPr>
          <w:p>
            <w:r>
              <w:t>Items / items</w:t>
            </w:r>
          </w:p>
        </w:tc>
        <w:tc>
          <w:tcPr>
            <w:tcW w:type="dxa" w:w="2880"/>
          </w:tcPr>
          <w:p>
            <w:r>
              <w:t>id, site, sku, gtin, uom</w:t>
            </w:r>
          </w:p>
        </w:tc>
        <w:tc>
          <w:tcPr>
            <w:tcW w:type="dxa" w:w="2880"/>
          </w:tcPr>
          <w:p>
            <w:r>
              <w:t>Internal item, supplier-site item code, optional barcode, purchasing unit</w:t>
            </w:r>
          </w:p>
        </w:tc>
      </w:tr>
      <w:tr>
        <w:tc>
          <w:tcPr>
            <w:tcW w:type="dxa" w:w="2880"/>
          </w:tcPr>
          <w:p>
            <w:r>
              <w:t>POs / orders</w:t>
            </w:r>
          </w:p>
        </w:tc>
        <w:tc>
          <w:tcPr>
            <w:tcW w:type="dxa" w:w="2880"/>
          </w:tcPr>
          <w:p>
            <w:r>
              <w:t>id, site, buyer, origin, market, currency, location, location_type, status</w:t>
            </w:r>
          </w:p>
        </w:tc>
        <w:tc>
          <w:tcPr>
            <w:tcW w:type="dxa" w:w="2880"/>
          </w:tcPr>
          <w:p>
            <w:r>
              <w:t>Exact PO scope; status open; location type Store (S) or Warehouse (W)</w:t>
            </w:r>
          </w:p>
        </w:tc>
      </w:tr>
      <w:tr>
        <w:tc>
          <w:tcPr>
            <w:tcW w:type="dxa" w:w="2880"/>
          </w:tcPr>
          <w:p>
            <w:r>
              <w:t>POLines / nested orders.lines</w:t>
            </w:r>
          </w:p>
        </w:tc>
        <w:tc>
          <w:tcPr>
            <w:tcW w:type="dxa" w:w="2880"/>
          </w:tcPr>
          <w:p>
            <w:r>
              <w:t>po, id, item, ordered, invoiced, price, uom</w:t>
            </w:r>
          </w:p>
        </w:tc>
        <w:tc>
          <w:tcPr>
            <w:tcW w:type="dxa" w:w="2880"/>
          </w:tcPr>
          <w:p>
            <w:r>
              <w:t>Ordered quantity; external baseline already invoiced; approved unit cost</w:t>
            </w:r>
          </w:p>
        </w:tc>
      </w:tr>
      <w:tr>
        <w:tc>
          <w:tcPr>
            <w:tcW w:type="dxa" w:w="2880"/>
          </w:tcPr>
          <w:p>
            <w:r>
              <w:t>Receipts / receipts</w:t>
            </w:r>
          </w:p>
        </w:tc>
        <w:tc>
          <w:tcPr>
            <w:tcW w:type="dxa" w:w="2880"/>
          </w:tcPr>
          <w:p>
            <w:r>
              <w:t>id, po, line, qty, status</w:t>
            </w:r>
          </w:p>
        </w:tc>
        <w:tc>
          <w:tcPr>
            <w:tcW w:type="dxa" w:w="2880"/>
          </w:tcPr>
          <w:p>
            <w:r>
              <w:t>Receipt line, exact PO line; status accepted/pending/rejected</w:t>
            </w:r>
          </w:p>
        </w:tc>
      </w:tr>
      <w:tr>
        <w:tc>
          <w:tcPr>
            <w:tcW w:type="dxa" w:w="2880"/>
          </w:tcPr>
          <w:p>
            <w:r>
              <w:t>TaxRules / taxRules</w:t>
            </w:r>
          </w:p>
        </w:tc>
        <w:tc>
          <w:tcPr>
            <w:tcW w:type="dxa" w:w="2880"/>
          </w:tcPr>
          <w:p>
            <w:r>
              <w:t>origin, market, currency, code, rate</w:t>
            </w:r>
          </w:p>
        </w:tc>
        <w:tc>
          <w:tcPr>
            <w:tcW w:type="dxa" w:w="2880"/>
          </w:tcPr>
          <w:p>
            <w:r>
              <w:t>Explicit approved tax treatment; rate is a fraction such as 0.05</w:t>
            </w:r>
          </w:p>
        </w:tc>
      </w:tr>
    </w:tbl>
    <w:p>
      <w:r>
        <w:t>In JSON, PO lines are nested under each order and omit po. Supplier aliases may be a list of approved alternative names. A supplier name mismatch is a hold; the name is not silently ignored because an AI model found a PO number.</w:t>
      </w:r>
    </w:p>
    <w:p>
      <w:r>
        <w:t>An accepted negative receipt represents a return. Available receipt balance = sum of accepted receipt quantities − external already-invoiced baseline − quantities allocated by this installation. The baseline must exclude this installation's exports to avoid double-counting. This model assumes an approved snapshot and does not invent a settlement history from receipt rows.</w:t>
      </w:r>
    </w:p>
    <w:p>
      <w:r>
        <w:t>PO location type is explicit. Prefixes such as 900 do not prove warehouse versus store. Same-name suppliers in different companies or sites are not interchangeable. Currency equality does not prove domestic supply. A missing GTIN can remain blank when an exact supplier-site SKU maps uniquely to an internal item; conflicting SKU/GTIN identity is held.</w:t>
      </w:r>
    </w:p>
    <w:p>
      <w:pPr>
        <w:pStyle w:val="Heading2"/>
      </w:pPr>
      <w:r>
        <w:t>Large source extracts</w:t>
      </w:r>
    </w:p>
    <w:p>
      <w:r>
        <w:t>Keep original files immutable, compute a SHA-256 hash, inspect every populated cell and build a profile with source sheet/row/column provenance. Map fields into a staging model before proposing a canonical snapshot. Report duplicates, one-to-many joins, missing internal scope, formula/cached-value differences and date/identifier conversion risks.</w:t>
      </w:r>
    </w:p>
    <w:p>
      <w:r>
        <w:t>Do not resolve conflicting item records with “first row wins.” Do not treat repeated receipt rows as new goods without proving the row grain. Do not substitute ordered quantity for accepted quantity. A source value called received or shipped still needs its business definition confirmed. Missing company, approval, currency or tax values stay unresolved until the data owner supplies the rule.</w:t>
      </w:r>
    </w:p>
    <w:p>
      <w:r>
        <w:t>The portal's canonical import is deliberately bounded (12 MB compressed, 30 MB expanded, 50,000 rows per worksheet). Large raw extracts are handled by separate private staging/profiling. They are not silently truncated or uploaded to AI. A scalable source adapter is a distinct integration step with its own approval and regression tests.</w:t>
      </w:r>
    </w:p>
    <w:p>
      <w:pPr>
        <w:pStyle w:val="Heading2"/>
      </w:pPr>
      <w:r>
        <w:t>Exact output</w:t>
      </w:r>
    </w:p>
    <w:tbl>
      <w:tblPr>
        <w:tblStyle w:val="LightShading-Accent1"/>
        <w:tblW w:type="auto" w:w="0"/>
        <w:tblLook w:firstColumn="1" w:firstRow="1" w:lastColumn="0" w:lastRow="0" w:noHBand="0" w:noVBand="1" w:val="04A0"/>
      </w:tblPr>
      <w:tblGrid>
        <w:gridCol w:w="4320"/>
        <w:gridCol w:w="4320"/>
      </w:tblGrid>
      <w:tr>
        <w:tc>
          <w:tcPr>
            <w:tcW w:type="dxa" w:w="4320"/>
          </w:tcPr>
          <w:p>
            <w:r>
              <w:t>Sheet</w:t>
            </w:r>
          </w:p>
        </w:tc>
        <w:tc>
          <w:tcPr>
            <w:tcW w:type="dxa" w:w="4320"/>
          </w:tcPr>
          <w:p>
            <w:r>
              <w:t>Columns, in order</w:t>
            </w:r>
          </w:p>
        </w:tc>
      </w:tr>
      <w:tr>
        <w:tc>
          <w:tcPr>
            <w:tcW w:type="dxa" w:w="4320"/>
          </w:tcPr>
          <w:p>
            <w:r>
              <w:t>Header</w:t>
            </w:r>
          </w:p>
        </w:tc>
        <w:tc>
          <w:tcPr>
            <w:tcW w:type="dxa" w:w="4320"/>
          </w:tcPr>
          <w:p>
            <w:r>
              <w:t>TransactionNumber, Document, SupplierSite, OrderNo, Location, LocationType, DocumentDate, TotalCostExTax, TaxAmount, Ref1, Ref2, Ref3, Comment</w:t>
            </w:r>
          </w:p>
        </w:tc>
      </w:tr>
      <w:tr>
        <w:tc>
          <w:tcPr>
            <w:tcW w:type="dxa" w:w="4320"/>
          </w:tcPr>
          <w:p>
            <w:r>
              <w:t>Tax_Breakdown</w:t>
            </w:r>
          </w:p>
        </w:tc>
        <w:tc>
          <w:tcPr>
            <w:tcW w:type="dxa" w:w="4320"/>
          </w:tcPr>
          <w:p>
            <w:r>
              <w:t>TransactionNumber, TaxCode, TaxBasis</w:t>
            </w:r>
          </w:p>
        </w:tc>
      </w:tr>
      <w:tr>
        <w:tc>
          <w:tcPr>
            <w:tcW w:type="dxa" w:w="4320"/>
          </w:tcPr>
          <w:p>
            <w:r>
              <w:t>Details</w:t>
            </w:r>
          </w:p>
        </w:tc>
        <w:tc>
          <w:tcPr>
            <w:tcW w:type="dxa" w:w="4320"/>
          </w:tcPr>
          <w:p>
            <w:r>
              <w:t>TransactionNumber, Item, UPC, UnitCost, Quantity, UnitTaxCode</w:t>
            </w:r>
          </w:p>
        </w:tc>
      </w:tr>
    </w:tbl>
    <w:p>
      <w:r>
        <w:t>TransactionNumber is a workbook-local integer starting at 1. It is the join key, not the supplier's invoice number. Document stays text to preserve leading zeros; UPC stays text to preserve long barcodes. IDs without leading zeros and with at most 15 digits may be numeric to match the target examples; otherwise they remain text. Dates are real Excel dates, and costs/quantities are numeric cells. There are no helper columns or generated formulas. Ref1/2/3 and Comment are empty unless a future approved mapping defines them.</w:t>
      </w:r>
    </w:p>
    <w:p>
      <w:r>
        <w:t>The current contract supports one PO, one currency and one tax code per invoice. A tax rule supplies the rate; the application checks tax against rounded net × rate. Tolerances are explicitly configured and confirmed. Currency decimal places are explicit; KWD uses three in the default policy. Mixed taxes, freight, discounts and credits require an extension rather than an invented allocation.</w:t>
      </w:r>
    </w:p>
    <w:p>
      <w:pPr>
        <w:pStyle w:val="Heading2"/>
      </w:pPr>
      <w:r>
        <w:t>Readiness and traceability</w:t>
      </w:r>
    </w:p>
    <w:p>
      <w:r>
        <w:t>All required identities, route and PO scope, items, units, unit prices, accepted quantity balances, arithmetic and tax must pass. The operator must confirm evidence review. Review alone cannot override failed matching. Export revalidates against the latest ledger inside a database transaction, preventing two concurrent invoices from consuming the same available quantity.</w:t>
      </w:r>
    </w:p>
    <w:p>
      <w:r>
        <w:t>Every export records the reference version, policy and line allocations. Corrections and reader attempts are audited. A changed review revision is rejected rather than overwriting another edit. Previously exported invoices download their existing result; they are not reposted by repeated clicks.</w:t>
      </w:r>
    </w:p>
    <w:p>
      <w:r>
        <w:br w:type="page"/>
      </w:r>
    </w:p>
    <w:p>
      <w:pPr>
        <w:pStyle w:val="Heading1"/>
      </w:pPr>
      <w:r>
        <w:t>Operator guide: from invoice to checked workbook</w:t>
      </w:r>
    </w:p>
    <w:p>
      <w:r>
        <w:t>Owner roles proposed: AP process owner and reference-data steward. Review cadence: monthly during pilot, then quarterly. Individual owners must be assigned before business rollout.</w:t>
      </w:r>
    </w:p>
    <w:p>
      <w:pPr>
        <w:pStyle w:val="Heading2"/>
      </w:pPr>
      <w:r>
        <w:t>Before the first batch</w:t>
      </w:r>
    </w:p>
    <w:p>
      <w:r>
        <w:t>The data steward prepares a reference snapshot with approved supplier sites, routes, items, purchase orders, receipt balances and tax rules. Import it in References and check counts and version. A target invoice example cannot substitute for this snapshot. Keep an untouched copy of every source and its profile.</w:t>
      </w:r>
    </w:p>
    <w:p>
      <w:r>
        <w:t>The AP owner agrees price and total tolerances and the currency precision. Start with exact price matching; broaden a tolerance only for a documented business reason. Connect an AI provider if wanted, retrieve its model list and choose the model. API access and subscription adapters are separate connection choices.</w:t>
      </w:r>
    </w:p>
    <w:p>
      <w:pPr>
        <w:pStyle w:val="Heading2"/>
      </w:pPr>
      <w:r>
        <w:t>Daily process</w:t>
      </w:r>
    </w:p>
    <w:p>
      <w:r>
        <w:t>1. Select invoices. Add one invoice per file. Split PDFs containing several invoices. Confirm that scans are legible and page order is correct.</w:t>
      </w:r>
    </w:p>
    <w:p>
      <w:r>
        <w:t>2. Review the plan. Check filenames, reader, language, fallback, provider/model, reference version and tolerances. Confirm to start. Cancel makes no extraction request.</w:t>
      </w:r>
    </w:p>
    <w:p>
      <w:r>
        <w:t>3. Watch the queue. Each invoice progresses independently. A failed reader can fall through to another engine or the selected AI connection. Missing credentials or provider failure creates a visible exception.</w:t>
      </w:r>
    </w:p>
    <w:p>
      <w:r>
        <w:t>4. Inspect the evidence. Open each result. Check supplier, invoice number/date, PO and every line against the document. Completeness is not proof of accuracy. For office files that cannot preview in the browser, use the original download and extracted text.</w:t>
      </w:r>
    </w:p>
    <w:p>
      <w:r>
        <w:t>5. Resolve holds. Correct a misread field, or ask the data steward to repair missing reference evidence. Save edits and revalidate. Do not change a master record simply to make an invoice pass.</w:t>
      </w:r>
    </w:p>
    <w:p>
      <w:r>
        <w:t>6. Confirm review. This acknowledges comparison with source evidence. The backend still checks every rule; confirmation does not bypass a hold.</w:t>
      </w:r>
    </w:p>
    <w:p>
      <w:r>
        <w:t>7. Export. Select ready invoices and download one workbook. Check invoice count and the shared transaction numbers across all three sheets. Hand it to the receiving process under the agreed acceptance procedure.</w:t>
      </w:r>
    </w:p>
    <w:p>
      <w:r>
        <w:t>8. Retain evidence. Keep source files, reference versions, reviews and export receipts together. The local installation retains these in .data; back up the database and encryption key securely as a pair.</w:t>
      </w:r>
    </w:p>
    <w:p>
      <w:pPr>
        <w:pStyle w:val="Heading2"/>
      </w:pPr>
      <w:r>
        <w:t>Responsibilities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Activity</w:t>
            </w:r>
          </w:p>
        </w:tc>
        <w:tc>
          <w:tcPr>
            <w:tcW w:type="dxa" w:w="1728"/>
          </w:tcPr>
          <w:p>
            <w:r>
              <w:t>Responsible</w:t>
            </w:r>
          </w:p>
        </w:tc>
        <w:tc>
          <w:tcPr>
            <w:tcW w:type="dxa" w:w="1728"/>
          </w:tcPr>
          <w:p>
            <w:r>
              <w:t>Accountable</w:t>
            </w:r>
          </w:p>
        </w:tc>
        <w:tc>
          <w:tcPr>
            <w:tcW w:type="dxa" w:w="1728"/>
          </w:tcPr>
          <w:p>
            <w:r>
              <w:t>Consulted</w:t>
            </w:r>
          </w:p>
        </w:tc>
        <w:tc>
          <w:tcPr>
            <w:tcW w:type="dxa" w:w="1728"/>
          </w:tcPr>
          <w:p>
            <w:r>
              <w:t>Informed</w:t>
            </w:r>
          </w:p>
        </w:tc>
      </w:tr>
      <w:tr>
        <w:tc>
          <w:tcPr>
            <w:tcW w:type="dxa" w:w="1728"/>
          </w:tcPr>
          <w:p>
            <w:r>
              <w:t>Reference mapping and scope</w:t>
            </w:r>
          </w:p>
        </w:tc>
        <w:tc>
          <w:tcPr>
            <w:tcW w:type="dxa" w:w="1728"/>
          </w:tcPr>
          <w:p>
            <w:r>
              <w:t>Data steward</w:t>
            </w:r>
          </w:p>
        </w:tc>
        <w:tc>
          <w:tcPr>
            <w:tcW w:type="dxa" w:w="1728"/>
          </w:tcPr>
          <w:p>
            <w:r>
              <w:t>Procurement/data owner</w:t>
            </w:r>
          </w:p>
        </w:tc>
        <w:tc>
          <w:tcPr>
            <w:tcW w:type="dxa" w:w="1728"/>
          </w:tcPr>
          <w:p>
            <w:r>
              <w:t>AP, receiving</w:t>
            </w:r>
          </w:p>
        </w:tc>
        <w:tc>
          <w:tcPr>
            <w:tcW w:type="dxa" w:w="1728"/>
          </w:tcPr>
          <w:p>
            <w:r>
              <w:t>Operator</w:t>
            </w:r>
          </w:p>
        </w:tc>
      </w:tr>
      <w:tr>
        <w:tc>
          <w:tcPr>
            <w:tcW w:type="dxa" w:w="1728"/>
          </w:tcPr>
          <w:p>
            <w:r>
              <w:t>Invoice evidence review</w:t>
            </w:r>
          </w:p>
        </w:tc>
        <w:tc>
          <w:tcPr>
            <w:tcW w:type="dxa" w:w="1728"/>
          </w:tcPr>
          <w:p>
            <w:r>
              <w:t>AP operator</w:t>
            </w:r>
          </w:p>
        </w:tc>
        <w:tc>
          <w:tcPr>
            <w:tcW w:type="dxa" w:w="1728"/>
          </w:tcPr>
          <w:p>
            <w:r>
              <w:t>AP owner</w:t>
            </w:r>
          </w:p>
        </w:tc>
        <w:tc>
          <w:tcPr>
            <w:tcW w:type="dxa" w:w="1728"/>
          </w:tcPr>
          <w:p>
            <w:r>
              <w:t>Supplier liaison</w:t>
            </w:r>
          </w:p>
        </w:tc>
        <w:tc>
          <w:tcPr>
            <w:tcW w:type="dxa" w:w="1728"/>
          </w:tcPr>
          <w:p>
            <w:r>
              <w:t>Finance</w:t>
            </w:r>
          </w:p>
        </w:tc>
      </w:tr>
      <w:tr>
        <w:tc>
          <w:tcPr>
            <w:tcW w:type="dxa" w:w="1728"/>
          </w:tcPr>
          <w:p>
            <w:r>
              <w:t>Receipt or quantity dispute</w:t>
            </w:r>
          </w:p>
        </w:tc>
        <w:tc>
          <w:tcPr>
            <w:tcW w:type="dxa" w:w="1728"/>
          </w:tcPr>
          <w:p>
            <w:r>
              <w:t>Receiving team</w:t>
            </w:r>
          </w:p>
        </w:tc>
        <w:tc>
          <w:tcPr>
            <w:tcW w:type="dxa" w:w="1728"/>
          </w:tcPr>
          <w:p>
            <w:r>
              <w:t>Receiving owner</w:t>
            </w:r>
          </w:p>
        </w:tc>
        <w:tc>
          <w:tcPr>
            <w:tcW w:type="dxa" w:w="1728"/>
          </w:tcPr>
          <w:p>
            <w:r>
              <w:t>AP, procurement</w:t>
            </w:r>
          </w:p>
        </w:tc>
        <w:tc>
          <w:tcPr>
            <w:tcW w:type="dxa" w:w="1728"/>
          </w:tcPr>
          <w:p>
            <w:r>
              <w:t>Supplier liaison</w:t>
            </w:r>
          </w:p>
        </w:tc>
      </w:tr>
      <w:tr>
        <w:tc>
          <w:tcPr>
            <w:tcW w:type="dxa" w:w="1728"/>
          </w:tcPr>
          <w:p>
            <w:r>
              <w:t>Tax rule definition</w:t>
            </w:r>
          </w:p>
        </w:tc>
        <w:tc>
          <w:tcPr>
            <w:tcW w:type="dxa" w:w="1728"/>
          </w:tcPr>
          <w:p>
            <w:r>
              <w:t>Finance/tax owner</w:t>
            </w:r>
          </w:p>
        </w:tc>
        <w:tc>
          <w:tcPr>
            <w:tcW w:type="dxa" w:w="1728"/>
          </w:tcPr>
          <w:p>
            <w:r>
              <w:t>Finance owner</w:t>
            </w:r>
          </w:p>
        </w:tc>
        <w:tc>
          <w:tcPr>
            <w:tcW w:type="dxa" w:w="1728"/>
          </w:tcPr>
          <w:p>
            <w:r>
              <w:t>AP</w:t>
            </w:r>
          </w:p>
        </w:tc>
        <w:tc>
          <w:tcPr>
            <w:tcW w:type="dxa" w:w="1728"/>
          </w:tcPr>
          <w:p>
            <w:r>
              <w:t>Data steward</w:t>
            </w:r>
          </w:p>
        </w:tc>
      </w:tr>
      <w:tr>
        <w:tc>
          <w:tcPr>
            <w:tcW w:type="dxa" w:w="1728"/>
          </w:tcPr>
          <w:p>
            <w:r>
              <w:t>Provider/model configuration</w:t>
            </w:r>
          </w:p>
        </w:tc>
        <w:tc>
          <w:tcPr>
            <w:tcW w:type="dxa" w:w="1728"/>
          </w:tcPr>
          <w:p>
            <w:r>
              <w:t>Application administrator</w:t>
            </w:r>
          </w:p>
        </w:tc>
        <w:tc>
          <w:tcPr>
            <w:tcW w:type="dxa" w:w="1728"/>
          </w:tcPr>
          <w:p>
            <w:r>
              <w:t>Product owner</w:t>
            </w:r>
          </w:p>
        </w:tc>
        <w:tc>
          <w:tcPr>
            <w:tcW w:type="dxa" w:w="1728"/>
          </w:tcPr>
          <w:p>
            <w:r>
              <w:t>Security/data owner</w:t>
            </w:r>
          </w:p>
        </w:tc>
        <w:tc>
          <w:tcPr>
            <w:tcW w:type="dxa" w:w="1728"/>
          </w:tcPr>
          <w:p>
            <w:r>
              <w:t>Operators</w:t>
            </w:r>
          </w:p>
        </w:tc>
      </w:tr>
      <w:tr>
        <w:tc>
          <w:tcPr>
            <w:tcW w:type="dxa" w:w="1728"/>
          </w:tcPr>
          <w:p>
            <w:r>
              <w:t>Release and backup recovery</w:t>
            </w:r>
          </w:p>
        </w:tc>
        <w:tc>
          <w:tcPr>
            <w:tcW w:type="dxa" w:w="1728"/>
          </w:tcPr>
          <w:p>
            <w:r>
              <w:t>Engineering/platform</w:t>
            </w:r>
          </w:p>
        </w:tc>
        <w:tc>
          <w:tcPr>
            <w:tcW w:type="dxa" w:w="1728"/>
          </w:tcPr>
          <w:p>
            <w:r>
              <w:t>Service owner</w:t>
            </w:r>
          </w:p>
        </w:tc>
        <w:tc>
          <w:tcPr>
            <w:tcW w:type="dxa" w:w="1728"/>
          </w:tcPr>
          <w:p>
            <w:r>
              <w:t>AP owner</w:t>
            </w:r>
          </w:p>
        </w:tc>
        <w:tc>
          <w:tcPr>
            <w:tcW w:type="dxa" w:w="1728"/>
          </w:tcPr>
          <w:p>
            <w:r>
              <w:t>Operators</w:t>
            </w:r>
          </w:p>
        </w:tc>
      </w:tr>
    </w:tbl>
    <w:p>
      <w:pPr>
        <w:pStyle w:val="Heading2"/>
      </w:pPr>
      <w:r>
        <w:t>Exceptions</w:t>
      </w:r>
    </w:p>
    <w:tbl>
      <w:tblPr>
        <w:tblStyle w:val="LightShading-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to do</w:t>
            </w:r>
          </w:p>
        </w:tc>
      </w:tr>
      <w:tr>
        <w:tc>
          <w:tcPr>
            <w:tcW w:type="dxa" w:w="4320"/>
          </w:tcPr>
          <w:p>
            <w:r>
              <w:t>Unknown supplier/site or name conflict</w:t>
            </w:r>
          </w:p>
        </w:tc>
        <w:tc>
          <w:tcPr>
            <w:tcW w:type="dxa" w:w="4320"/>
          </w:tcPr>
          <w:p>
            <w:r>
              <w:t>Validate the source identity and approved aliases. Keep on hold until resolved.</w:t>
            </w:r>
          </w:p>
        </w:tc>
      </w:tr>
      <w:tr>
        <w:tc>
          <w:tcPr>
            <w:tcW w:type="dxa" w:w="4320"/>
          </w:tcPr>
          <w:p>
            <w:r>
              <w:t>Same supplier in a different market</w:t>
            </w:r>
          </w:p>
        </w:tc>
        <w:tc>
          <w:tcPr>
            <w:tcW w:type="dxa" w:w="4320"/>
          </w:tcPr>
          <w:p>
            <w:r>
              <w:t>Confirm the exact route and buying company; an existing domestic approval is insufficient.</w:t>
            </w:r>
          </w:p>
        </w:tc>
      </w:tr>
      <w:tr>
        <w:tc>
          <w:tcPr>
            <w:tcW w:type="dxa" w:w="4320"/>
          </w:tcPr>
          <w:p>
            <w:r>
              <w:t>Missing PO or multiple possible item matches</w:t>
            </w:r>
          </w:p>
        </w:tc>
        <w:tc>
          <w:tcPr>
            <w:tcW w:type="dxa" w:w="4320"/>
          </w:tcPr>
          <w:p>
            <w:r>
              <w:t>Supply source evidence or repair the reference mapping; never choose the first candidate by position.</w:t>
            </w:r>
          </w:p>
        </w:tc>
      </w:tr>
      <w:tr>
        <w:tc>
          <w:tcPr>
            <w:tcW w:type="dxa" w:w="4320"/>
          </w:tcPr>
          <w:p>
            <w:r>
              <w:t>Missing receipt or over-billing</w:t>
            </w:r>
          </w:p>
        </w:tc>
        <w:tc>
          <w:tcPr>
            <w:tcW w:type="dxa" w:w="4320"/>
          </w:tcPr>
          <w:p>
            <w:r>
              <w:t>Ask receiving to confirm accepted goods and returns. Ordered quantity is not proof of receipt.</w:t>
            </w:r>
          </w:p>
        </w:tc>
      </w:tr>
      <w:tr>
        <w:tc>
          <w:tcPr>
            <w:tcW w:type="dxa" w:w="4320"/>
          </w:tcPr>
          <w:p>
            <w:r>
              <w:t>Price, unit or tax mismatch</w:t>
            </w:r>
          </w:p>
        </w:tc>
        <w:tc>
          <w:tcPr>
            <w:tcW w:type="dxa" w:w="4320"/>
          </w:tcPr>
          <w:p>
            <w:r>
              <w:t>Resolve commercially or add an explicitly approved contract extension. Do not invent unit conversion or tax allocation.</w:t>
            </w:r>
          </w:p>
        </w:tc>
      </w:tr>
      <w:tr>
        <w:tc>
          <w:tcPr>
            <w:tcW w:type="dxa" w:w="4320"/>
          </w:tcPr>
          <w:p>
            <w:r>
              <w:t>Duplicate invoice</w:t>
            </w:r>
          </w:p>
        </w:tc>
        <w:tc>
          <w:tcPr>
            <w:tcW w:type="dxa" w:w="4320"/>
          </w:tcPr>
          <w:p>
            <w:r>
              <w:t>Review existing export/history; repeated clicks return the prior export.</w:t>
            </w:r>
          </w:p>
        </w:tc>
      </w:tr>
      <w:tr>
        <w:tc>
          <w:tcPr>
            <w:tcW w:type="dxa" w:w="4320"/>
          </w:tcPr>
          <w:p>
            <w:r>
              <w:t>Reader fails</w:t>
            </w:r>
          </w:p>
        </w:tc>
        <w:tc>
          <w:tcPr>
            <w:tcW w:type="dxa" w:w="4320"/>
          </w:tcPr>
          <w:p>
            <w:r>
              <w:t>Inspect the failure trace, change reader or enable AI, then review and confirm a new plan.</w:t>
            </w:r>
          </w:p>
        </w:tc>
      </w:tr>
      <w:tr>
        <w:tc>
          <w:tcPr>
            <w:tcW w:type="dxa" w:w="4320"/>
          </w:tcPr>
          <w:p>
            <w:r>
              <w:t>AI connection fails or limits are reached</w:t>
            </w:r>
          </w:p>
        </w:tc>
        <w:tc>
          <w:tcPr>
            <w:tcW w:type="dxa" w:w="4320"/>
          </w:tcPr>
          <w:p>
            <w:r>
              <w:t>Reconnect/select a model, retry later or enter verified values manually. The invoice stays on hold.</w:t>
            </w:r>
          </w:p>
        </w:tc>
      </w:tr>
      <w:tr>
        <w:tc>
          <w:tcPr>
            <w:tcW w:type="dxa" w:w="4320"/>
          </w:tcPr>
          <w:p>
            <w:r>
              <w:t>Reference/rule changes during extraction</w:t>
            </w:r>
          </w:p>
        </w:tc>
        <w:tc>
          <w:tcPr>
            <w:tcW w:type="dxa" w:w="4320"/>
          </w:tcPr>
          <w:p>
            <w:r>
              <w:t>Review the new plan and retry; the old confirmation does not authorize new rules.</w:t>
            </w:r>
          </w:p>
        </w:tc>
      </w:tr>
      <w:tr>
        <w:tc>
          <w:tcPr>
            <w:tcW w:type="dxa" w:w="4320"/>
          </w:tcPr>
          <w:p>
            <w:r>
              <w:t>Restart during reading</w:t>
            </w:r>
          </w:p>
        </w:tc>
        <w:tc>
          <w:tcPr>
            <w:tcW w:type="dxa" w:w="4320"/>
          </w:tcPr>
          <w:p>
            <w:r>
              <w:t>Job shows an interrupted status. Review the plan and retry; existing exports remain intact.</w:t>
            </w:r>
          </w:p>
        </w:tc>
      </w:tr>
      <w:tr>
        <w:tc>
          <w:tcPr>
            <w:tcW w:type="dxa" w:w="4320"/>
          </w:tcPr>
          <w:p>
            <w:r>
              <w:t>Credit, multiple POs or mixed taxes</w:t>
            </w:r>
          </w:p>
        </w:tc>
        <w:tc>
          <w:tcPr>
            <w:tcW w:type="dxa" w:w="4320"/>
          </w:tcPr>
          <w:p>
            <w:r>
              <w:t>Keep for the agreed exception process until the product has an approved contract for that case.</w:t>
            </w:r>
          </w:p>
        </w:tc>
      </w:tr>
    </w:tbl>
    <w:p>
      <w:pPr>
        <w:pStyle w:val="Heading2"/>
      </w:pPr>
      <w:r>
        <w:t>Pilot measures</w:t>
      </w:r>
    </w:p>
    <w:p>
      <w:r>
        <w:t>Targets below are proposed acceptance gates, not measured results.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Proposed gate</w:t>
            </w:r>
          </w:p>
        </w:tc>
        <w:tc>
          <w:tcPr>
            <w:tcW w:type="dxa" w:w="2880"/>
          </w:tcPr>
          <w:p>
            <w:r>
              <w:t>Method</w:t>
            </w:r>
          </w:p>
        </w:tc>
      </w:tr>
      <w:tr>
        <w:tc>
          <w:tcPr>
            <w:tcW w:type="dxa" w:w="2880"/>
          </w:tcPr>
          <w:p>
            <w:r>
              <w:t>Export validity</w:t>
            </w:r>
          </w:p>
        </w:tc>
        <w:tc>
          <w:tcPr>
            <w:tcW w:type="dxa" w:w="2880"/>
          </w:tcPr>
          <w:p>
            <w:r>
              <w:t>Zero known false-ready invoices in the adjudicated pilot</w:t>
            </w:r>
          </w:p>
        </w:tc>
        <w:tc>
          <w:tcPr>
            <w:tcW w:type="dxa" w:w="2880"/>
          </w:tcPr>
          <w:p>
            <w:r>
              <w:t>Independently compare every exported field and allocation</w:t>
            </w:r>
          </w:p>
        </w:tc>
      </w:tr>
      <w:tr>
        <w:tc>
          <w:tcPr>
            <w:tcW w:type="dxa" w:w="2880"/>
          </w:tcPr>
          <w:p>
            <w:r>
              <w:t>Target compatibility</w:t>
            </w:r>
          </w:p>
        </w:tc>
        <w:tc>
          <w:tcPr>
            <w:tcW w:type="dxa" w:w="2880"/>
          </w:tcPr>
          <w:p>
            <w:r>
              <w:t>All agreed downstream import tests pass</w:t>
            </w:r>
          </w:p>
        </w:tc>
        <w:tc>
          <w:tcPr>
            <w:tcW w:type="dxa" w:w="2880"/>
          </w:tcPr>
          <w:p>
            <w:r>
              <w:t>Load an accepted synthetic and controlled business test batch</w:t>
            </w:r>
          </w:p>
        </w:tc>
      </w:tr>
      <w:tr>
        <w:tc>
          <w:tcPr>
            <w:tcW w:type="dxa" w:w="2880"/>
          </w:tcPr>
          <w:p>
            <w:r>
              <w:t>Manual effort</w:t>
            </w:r>
          </w:p>
        </w:tc>
        <w:tc>
          <w:tcPr>
            <w:tcW w:type="dxa" w:w="2880"/>
          </w:tcPr>
          <w:p>
            <w:r>
              <w:t>Establish baseline, then demonstrate reduction</w:t>
            </w:r>
          </w:p>
        </w:tc>
        <w:tc>
          <w:tcPr>
            <w:tcW w:type="dxa" w:w="2880"/>
          </w:tcPr>
          <w:p>
            <w:r>
              <w:t>Record minutes per invoice before and after, including exceptions</w:t>
            </w:r>
          </w:p>
        </w:tc>
      </w:tr>
      <w:tr>
        <w:tc>
          <w:tcPr>
            <w:tcW w:type="dxa" w:w="2880"/>
          </w:tcPr>
          <w:p>
            <w:r>
              <w:t>Reader quality</w:t>
            </w:r>
          </w:p>
        </w:tc>
        <w:tc>
          <w:tcPr>
            <w:tcW w:type="dxa" w:w="2880"/>
          </w:tcPr>
          <w:p>
            <w:r>
              <w:t>Report by supplier, language and document type</w:t>
            </w:r>
          </w:p>
        </w:tc>
        <w:tc>
          <w:tcPr>
            <w:tcW w:type="dxa" w:w="2880"/>
          </w:tcPr>
          <w:p>
            <w:r>
              <w:t>Header exact match, line recall, numeric accuracy and correction count</w:t>
            </w:r>
          </w:p>
        </w:tc>
      </w:tr>
      <w:tr>
        <w:tc>
          <w:tcPr>
            <w:tcW w:type="dxa" w:w="2880"/>
          </w:tcPr>
          <w:p>
            <w:r>
              <w:t>AI dependence</w:t>
            </w:r>
          </w:p>
        </w:tc>
        <w:tc>
          <w:tcPr>
            <w:tcW w:type="dxa" w:w="2880"/>
          </w:tcPr>
          <w:p>
            <w:r>
              <w:t>Visible and within agreed budget</w:t>
            </w:r>
          </w:p>
        </w:tc>
        <w:tc>
          <w:tcPr>
            <w:tcW w:type="dxa" w:w="2880"/>
          </w:tcPr>
          <w:p>
            <w:r>
              <w:t>Fallback rate, tokens, latency and failure rates</w:t>
            </w:r>
          </w:p>
        </w:tc>
      </w:tr>
      <w:tr>
        <w:tc>
          <w:tcPr>
            <w:tcW w:type="dxa" w:w="2880"/>
          </w:tcPr>
          <w:p>
            <w:r>
              <w:t>Traceability</w:t>
            </w:r>
          </w:p>
        </w:tc>
        <w:tc>
          <w:tcPr>
            <w:tcW w:type="dxa" w:w="2880"/>
          </w:tcPr>
          <w:p>
            <w:r>
              <w:t>Every export reconstructable</w:t>
            </w:r>
          </w:p>
        </w:tc>
        <w:tc>
          <w:tcPr>
            <w:tcW w:type="dxa" w:w="2880"/>
          </w:tcPr>
          <w:p>
            <w:r>
              <w:t>Source hash, reference version, edits, policy and allocations</w:t>
            </w:r>
          </w:p>
        </w:tc>
      </w:tr>
    </w:tbl>
    <w:p>
      <w:r>
        <w:t>Do not use synthetic test success as a real-world OCR accuracy estimate. Review representative difficult scans, Arabic/English mixes, leading zeros, repeated item codes, partial receipts and returns before widening scope.</w:t>
      </w:r>
    </w:p>
    <w:p>
      <w:r>
        <w:br w:type="page"/>
      </w:r>
    </w:p>
    <w:p>
      <w:pPr>
        <w:pStyle w:val="Heading1"/>
      </w:pPr>
      <w:r>
        <w:t>Invoice Studio delivery stories</w:t>
      </w:r>
    </w:p>
    <w:p>
      <w:r>
        <w:t>Status distinguishes verified local behavior from business-data acceptance and proposed expansion. Estimates and production gates are in the solution design.</w:t>
      </w:r>
    </w:p>
    <w:p>
      <w:pPr>
        <w:pStyle w:val="Heading2"/>
      </w:pPr>
      <w:r>
        <w:t>INV-01 · Select and confirm an invoice batch</w:t>
      </w:r>
    </w:p>
    <w:p>
      <w:r>
        <w:t>As an AP operator, I want to choose several invoices and confirm the processing rules, so I know which files, data and reader will be used.</w:t>
      </w:r>
    </w:p>
    <w:p>
      <w:r>
        <w:t>Status: Local implementation verified.</w:t>
      </w:r>
    </w:p>
    <w:p>
      <w:pPr>
        <w:pStyle w:val="ListBullet"/>
      </w:pPr>
      <w:r>
        <w:t>Cancel sends no invoice-processing request.</w:t>
      </w:r>
    </w:p>
    <w:p>
      <w:pPr>
        <w:pStyle w:val="ListBullet"/>
      </w:pPr>
      <w:r>
        <w:t>A confirmed plan is bound to filenames/sizes, engine/model, reference version and tolerances.</w:t>
      </w:r>
    </w:p>
    <w:p>
      <w:pPr>
        <w:pStyle w:val="ListBullet"/>
      </w:pPr>
      <w:r>
        <w:t>Changed rules require a fresh confirmation.</w:t>
      </w:r>
    </w:p>
    <w:p>
      <w:pPr>
        <w:pStyle w:val="Heading2"/>
      </w:pPr>
      <w:r>
        <w:t>INV-02 · Read digital invoices and scans</w:t>
      </w:r>
    </w:p>
    <w:p>
      <w:r>
        <w:t>As an AP operator, I want to extract headers and every item line from supported files, so I avoid retyping supplier documents.</w:t>
      </w:r>
    </w:p>
    <w:p>
      <w:r>
        <w:t>Status: Local synthetic tests verified.</w:t>
      </w:r>
    </w:p>
    <w:p>
      <w:pPr>
        <w:pStyle w:val="ListBullet"/>
      </w:pPr>
      <w:r>
        <w:t>Digital invoice2data, PaddleOCR scan and Docling reader paths produce structured synthetic results.</w:t>
      </w:r>
    </w:p>
    <w:p>
      <w:pPr>
        <w:pStyle w:val="ListBullet"/>
      </w:pPr>
      <w:r>
        <w:t>Unread or incomplete output records an explainable reader trace.</w:t>
      </w:r>
    </w:p>
    <w:p>
      <w:pPr>
        <w:pStyle w:val="ListBullet"/>
      </w:pPr>
      <w:r>
        <w:t>Unsupported, encrypted, oversized and multi-invoice files receive a clear exception or split instruction.</w:t>
      </w:r>
    </w:p>
    <w:p>
      <w:pPr>
        <w:pStyle w:val="Heading2"/>
      </w:pPr>
      <w:r>
        <w:t>INV-03 · Use a chosen AI connection for exceptions</w:t>
      </w:r>
    </w:p>
    <w:p>
      <w:r>
        <w:t>As an AP operator, I want to select a provider/model and enable automatic fallback, so unfamiliar layouts can be proposed for review.</w:t>
      </w:r>
    </w:p>
    <w:p>
      <w:r>
        <w:t>Status: Adapters verified with mocked provider responses; live account evaluation pending.</w:t>
      </w:r>
    </w:p>
    <w:p>
      <w:pPr>
        <w:pStyle w:val="ListBullet"/>
      </w:pPr>
      <w:r>
        <w:t>AI is called after explicit selection/confirmed fallback and local extraction failure or incompleteness.</w:t>
      </w:r>
    </w:p>
    <w:p>
      <w:pPr>
        <w:pStyle w:val="ListBullet"/>
      </w:pPr>
      <w:r>
        <w:t>Provider output must pass the strict invoice schema; missing facts remain missing.</w:t>
      </w:r>
    </w:p>
    <w:p>
      <w:pPr>
        <w:pStyle w:val="ListBullet"/>
      </w:pPr>
      <w:r>
        <w:t>Credentials never appear in browser storage, exported files or ordinary API errors.</w:t>
      </w:r>
    </w:p>
    <w:p>
      <w:pPr>
        <w:pStyle w:val="Heading2"/>
      </w:pPr>
      <w:r>
        <w:t>INV-04 · Map and approve business reference extracts</w:t>
      </w:r>
    </w:p>
    <w:p>
      <w:r>
        <w:t>As an data steward, I want to profile the whole item and PO/GRN files and approve explicit mappings, so the validator uses evidence with known meaning.</w:t>
      </w:r>
    </w:p>
    <w:p>
      <w:r>
        <w:t>Status: Full private profiling active; source adapter and business approval pending.</w:t>
      </w:r>
    </w:p>
    <w:p>
      <w:pPr>
        <w:pStyle w:val="ListBullet"/>
      </w:pPr>
      <w:r>
        <w:t>Preserve original bytes, hashes and row/column provenance; inspect all populated cells.</w:t>
      </w:r>
    </w:p>
    <w:p>
      <w:pPr>
        <w:pStyle w:val="ListBullet"/>
      </w:pPr>
      <w:r>
        <w:t>Separate unique matches, duplicates, ambiguous joins and missing fields.</w:t>
      </w:r>
    </w:p>
    <w:p>
      <w:pPr>
        <w:pStyle w:val="ListBullet"/>
      </w:pPr>
      <w:r>
        <w:t>Unknown seller/buyer/route, receipt acceptance and invoiced baseline block approval; never default them silently.</w:t>
      </w:r>
    </w:p>
    <w:p>
      <w:pPr>
        <w:pStyle w:val="Heading2"/>
      </w:pPr>
      <w:r>
        <w:t>INV-05 · Match the exact supplier route and items</w:t>
      </w:r>
    </w:p>
    <w:p>
      <w:r>
        <w:t>As an AP operator, I want to check supplier, site, company, PO, item identity and unit, so an invoice cannot borrow approval from another market or entity.</w:t>
      </w:r>
    </w:p>
    <w:p>
      <w:r>
        <w:t>Status: Canonical matching implemented and tested.</w:t>
      </w:r>
    </w:p>
    <w:p>
      <w:pPr>
        <w:pStyle w:val="ListBullet"/>
      </w:pPr>
      <w:r>
        <w:t>Domestic and cross-border routes require their exact approval tuple.</w:t>
      </w:r>
    </w:p>
    <w:p>
      <w:pPr>
        <w:pStyle w:val="ListBullet"/>
      </w:pPr>
      <w:r>
        <w:t>Conflicting SKU and barcode identity is held.</w:t>
      </w:r>
    </w:p>
    <w:p>
      <w:pPr>
        <w:pStyle w:val="ListBullet"/>
      </w:pPr>
      <w:r>
        <w:t>Location type comes from an explicit reference field, not a numeric prefix.</w:t>
      </w:r>
    </w:p>
    <w:p>
      <w:pPr>
        <w:pStyle w:val="Heading2"/>
      </w:pPr>
      <w:r>
        <w:t>INV-06 · Protect receipt quantity and commercial controls</w:t>
      </w:r>
    </w:p>
    <w:p>
      <w:r>
        <w:t>As an finance owner, I want to check price, accepted receipt balance and tax with decimal rules, so we avoid incorrect or duplicate charges.</w:t>
      </w:r>
    </w:p>
    <w:p>
      <w:r>
        <w:t>Status: Implemented and tested.</w:t>
      </w:r>
    </w:p>
    <w:p>
      <w:pPr>
        <w:pStyle w:val="ListBullet"/>
      </w:pPr>
      <w:r>
        <w:t>Accepted receipts minus returns, external baseline and this app allocations determine available quantity.</w:t>
      </w:r>
    </w:p>
    <w:p>
      <w:pPr>
        <w:pStyle w:val="ListBullet"/>
      </w:pPr>
      <w:r>
        <w:t>Repeated lines and multiple invoices consume quantity cumulatively.</w:t>
      </w:r>
    </w:p>
    <w:p>
      <w:pPr>
        <w:pStyle w:val="ListBullet"/>
      </w:pPr>
      <w:r>
        <w:t>Tolerance and currency rounding are explicit; no credit or mixed-tax allocation is invented.</w:t>
      </w:r>
    </w:p>
    <w:p>
      <w:pPr>
        <w:pStyle w:val="Heading2"/>
      </w:pPr>
      <w:r>
        <w:t>INV-07 · Review evidence and resolve exceptions</w:t>
      </w:r>
    </w:p>
    <w:p>
      <w:r>
        <w:t>As an AP reviewer, I want to compare the source with editable fields and record review, so every exported value has checked evidence.</w:t>
      </w:r>
    </w:p>
    <w:p>
      <w:r>
        <w:t>Status: Implemented and browser verified.</w:t>
      </w:r>
    </w:p>
    <w:p>
      <w:pPr>
        <w:pStyle w:val="ListBullet"/>
      </w:pPr>
      <w:r>
        <w:t>Review confirmation cannot override validation holds.</w:t>
      </w:r>
    </w:p>
    <w:p>
      <w:pPr>
        <w:pStyle w:val="ListBullet"/>
      </w:pPr>
      <w:r>
        <w:t>Concurrent edits with stale revisions are rejected.</w:t>
      </w:r>
    </w:p>
    <w:p>
      <w:pPr>
        <w:pStyle w:val="ListBullet"/>
      </w:pPr>
      <w:r>
        <w:t>Rules changing during extraction prevent stale approval and require a new processing plan.</w:t>
      </w:r>
    </w:p>
    <w:p>
      <w:pPr>
        <w:pStyle w:val="Heading2"/>
      </w:pPr>
      <w:r>
        <w:t>INV-08 · Export one joined three-sheet workbook</w:t>
      </w:r>
    </w:p>
    <w:p>
      <w:r>
        <w:t>As an AP operator, I want to download all selected ready invoices into the exact target, so the receiving team can import without manual Excel assembly.</w:t>
      </w:r>
    </w:p>
    <w:p>
      <w:r>
        <w:t>Status: Implemented and browser/workbook verified.</w:t>
      </w:r>
    </w:p>
    <w:p>
      <w:pPr>
        <w:pStyle w:val="ListBullet"/>
      </w:pPr>
      <w:r>
        <w:t>Header/Tax_Breakdown/Details have exactly 13/3/6 columns and no helper formulas.</w:t>
      </w:r>
    </w:p>
    <w:p>
      <w:pPr>
        <w:pStyle w:val="ListBullet"/>
      </w:pPr>
      <w:r>
        <w:t>Invoice transaction IDs are 1..N and consistent across all three sheets.</w:t>
      </w:r>
    </w:p>
    <w:p>
      <w:pPr>
        <w:pStyle w:val="ListBullet"/>
      </w:pPr>
      <w:r>
        <w:t>Export rechecks and reserves quantities atomically; repeat download does not duplicate an allocation.</w:t>
      </w:r>
    </w:p>
    <w:p>
      <w:pPr>
        <w:pStyle w:val="Heading2"/>
      </w:pPr>
      <w:r>
        <w:t>INV-09 · Recover and audit local operations</w:t>
      </w:r>
    </w:p>
    <w:p>
      <w:r>
        <w:t>As an service owner, I want to retain sources, rule versions, edits and exports, so a failed reader or restart can be explained and retried.</w:t>
      </w:r>
    </w:p>
    <w:p>
      <w:r>
        <w:t>Status: Local audit/restart behavior implemented; recovery exercise pending.</w:t>
      </w:r>
    </w:p>
    <w:p>
      <w:pPr>
        <w:pStyle w:val="ListBullet"/>
      </w:pPr>
      <w:r>
        <w:t>Restarted in-flight jobs visibly require retry; completed exports remain downloadable.</w:t>
      </w:r>
    </w:p>
    <w:p>
      <w:pPr>
        <w:pStyle w:val="ListBullet"/>
      </w:pPr>
      <w:r>
        <w:t>Export records include reference version, policy and allocations.</w:t>
      </w:r>
    </w:p>
    <w:p>
      <w:pPr>
        <w:pStyle w:val="ListBullet"/>
      </w:pPr>
      <w:r>
        <w:t>Recovery procedure preserves the database plus the corresponding encryption key.</w:t>
      </w:r>
    </w:p>
    <w:p>
      <w:pPr>
        <w:pStyle w:val="Heading2"/>
      </w:pPr>
      <w:r>
        <w:t>INV-10 · Run a restricted cloud workspace</w:t>
      </w:r>
    </w:p>
    <w:p>
      <w:r>
        <w:t>As an workspace owner, I want to sign in to a Firebase frontend backed by durable GCP services, so the team can use a hosted portal without losing evidence on restart.</w:t>
      </w:r>
    </w:p>
    <w:p>
      <w:r>
        <w:t>Status: Cloud implementation and deployment in progress.</w:t>
      </w:r>
    </w:p>
    <w:p>
      <w:pPr>
        <w:pStyle w:val="ListBullet"/>
      </w:pPr>
      <w:r>
        <w:t>Unauthenticated and non-allowlisted accounts cannot access invoices, references or connections.</w:t>
      </w:r>
    </w:p>
    <w:p>
      <w:pPr>
        <w:pStyle w:val="ListBullet"/>
      </w:pPr>
      <w:r>
        <w:t>Database and document evidence survive a replacement application instance.</w:t>
      </w:r>
    </w:p>
    <w:p>
      <w:pPr>
        <w:pStyle w:val="ListBullet"/>
      </w:pPr>
      <w:r>
        <w:t>Live UI, auth rejection, synthetic extraction/export and persistence smoke checks pass before operational handoff.</w:t>
      </w:r>
    </w:p>
    <w:p>
      <w:pPr>
        <w:pStyle w:val="Heading2"/>
      </w:pPr>
      <w:r>
        <w:t>INV-11 · Qualify suppliers for a new store or market</w:t>
      </w:r>
    </w:p>
    <w:p>
      <w:r>
        <w:t>As an procurement owner, I want to reuse approved coverage and start discovery only for gaps, so store openings do not repeat every supplier task.</w:t>
      </w:r>
    </w:p>
    <w:p>
      <w:r>
        <w:t>Status: Proposed next product increment.</w:t>
      </w:r>
    </w:p>
    <w:p>
      <w:pPr>
        <w:pStyle w:val="ListBullet"/>
      </w:pPr>
      <w:r>
        <w:t>Same-market coverage reuses valid route facts with provenance/expiry.</w:t>
      </w:r>
    </w:p>
    <w:p>
      <w:pPr>
        <w:pStyle w:val="ListBullet"/>
      </w:pPr>
      <w:r>
        <w:t>New market or buying entity creates an explicit qualification case.</w:t>
      </w:r>
    </w:p>
    <w:p>
      <w:pPr>
        <w:pStyle w:val="ListBullet"/>
      </w:pPr>
      <w:r>
        <w:t>AI suggestions cannot approve a legal entity, route or commercial agreement.</w:t>
      </w:r>
    </w:p>
    <w:p>
      <w:pPr>
        <w:pStyle w:val="Heading2"/>
      </w:pPr>
      <w:r>
        <w:t>INV-12 · Normalize supplier items for buying and digital channels</w:t>
      </w:r>
    </w:p>
    <w:p>
      <w:r>
        <w:t>As an item-data steward, I want to turn varied supplier files into approved item identities and channel content, so purchasing and commerce teams can reuse a consistent catalog.</w:t>
      </w:r>
    </w:p>
    <w:p>
      <w:r>
        <w:t>Status: Proposed next product increment.</w:t>
      </w:r>
    </w:p>
    <w:p>
      <w:pPr>
        <w:pStyle w:val="ListBullet"/>
      </w:pPr>
      <w:r>
        <w:t>Supplier codes, internal items, barcodes, packaging and units have explicit mappings.</w:t>
      </w:r>
    </w:p>
    <w:p>
      <w:pPr>
        <w:pStyle w:val="ListBullet"/>
      </w:pPr>
      <w:r>
        <w:t>Conflicting identities and unit conversions need steward approval.</w:t>
      </w:r>
    </w:p>
    <w:p>
      <w:pPr>
        <w:pStyle w:val="ListBullet"/>
      </w:pPr>
      <w:r>
        <w:t>Channel-specific text, attributes, images and translations are versioned separately from purchasing identity.</w:t>
      </w:r>
    </w:p>
    <w:sectPr w:rsidR="00FC693F" w:rsidRPr="0006063C" w:rsidSect="00034616">
      <w:footerReference w:type="default" r:id="rId9"/>
      <w:pgSz w:w="12240" w:h="15840"/>
      <w:pgMar w:top="1080"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Inv Studio • Implementation and acceptance guide • Synthetic examples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32C3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32C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32C3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32C3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