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pPr>
      <w:r>
        <w:rPr>
          <w:b/>
          <w:bCs/>
          <w:color w:val="1F2251"/>
          <w:sz w:val="56"/>
          <w:szCs w:val="56"/>
        </w:rPr>
        <w:t xml:space="preserve">MEDVEX</w:t>
      </w:r>
    </w:p>
    <w:p>
      <w:pPr>
        <w:pBdr>
          <w:bottom w:val="single" w:color="1F2251" w:sz="12"/>
        </w:pBdr>
        <w:spacing w:after="500"/>
      </w:pPr>
      <w:r>
        <w:rPr>
          <w:color w:val="6C757D"/>
          <w:sz w:val="26"/>
          <w:szCs w:val="26"/>
        </w:rPr>
        <w:t xml:space="preserve">Health Administration Platform</w:t>
      </w:r>
    </w:p>
    <w:p>
      <w:pPr>
        <w:spacing w:after="160"/>
      </w:pPr>
      <w:r>
        <w:rPr>
          <w:b/>
          <w:bCs/>
          <w:color w:val="1F2251"/>
          <w:sz w:val="40"/>
          <w:szCs w:val="40"/>
        </w:rPr>
        <w:t xml:space="preserve">Go-Live Decision Paper</w:t>
      </w:r>
    </w:p>
    <w:p>
      <w:pPr>
        <w:spacing w:after="400" w:before="0"/>
      </w:pPr>
      <w:r>
        <w:rPr>
          <w:color w:val="6C757D"/>
          <w:sz w:val="24"/>
          <w:szCs w:val="24"/>
        </w:rPr>
        <w:t xml:space="preserve">Decisions required from the directors to move from a conditional pass to full launch.</w:t>
      </w:r>
    </w:p>
    <w:p>
      <w:pPr>
        <w:spacing w:after="60" w:before="0"/>
      </w:pPr>
      <w:r>
        <w:rPr>
          <w:b/>
          <w:bCs/>
          <w:color w:val="333333"/>
          <w:sz w:val="22"/>
          <w:szCs w:val="22"/>
        </w:rPr>
        <w:t xml:space="preserve">Date:  </w:t>
      </w:r>
      <w:r>
        <w:rPr>
          <w:color w:val="333333"/>
          <w:sz w:val="22"/>
          <w:szCs w:val="22"/>
        </w:rPr>
        <w:t xml:space="preserve">16 July 2026</w:t>
      </w:r>
    </w:p>
    <w:p>
      <w:pPr>
        <w:spacing w:after="60" w:before="0"/>
      </w:pPr>
      <w:r>
        <w:rPr>
          <w:b/>
          <w:bCs/>
          <w:color w:val="333333"/>
          <w:sz w:val="22"/>
          <w:szCs w:val="22"/>
        </w:rPr>
        <w:t xml:space="preserve">Prepared by:  </w:t>
      </w:r>
      <w:r>
        <w:rPr>
          <w:color w:val="333333"/>
          <w:sz w:val="22"/>
          <w:szCs w:val="22"/>
        </w:rPr>
        <w:t xml:space="preserve">Arthur Mulwa</w:t>
      </w:r>
    </w:p>
    <w:p>
      <w:pPr>
        <w:spacing w:after="60" w:before="0"/>
      </w:pPr>
      <w:r>
        <w:rPr>
          <w:b/>
          <w:bCs/>
          <w:color w:val="333333"/>
          <w:sz w:val="22"/>
          <w:szCs w:val="22"/>
        </w:rPr>
        <w:t xml:space="preserve">Status:  </w:t>
      </w:r>
      <w:r>
        <w:rPr>
          <w:color w:val="333333"/>
          <w:sz w:val="22"/>
          <w:szCs w:val="22"/>
        </w:rPr>
        <w:t xml:space="preserve">For discussion and decision</w:t>
      </w:r>
    </w:p>
    <w:p>
      <w:pPr>
        <w:spacing w:after="400" w:before="0"/>
      </w:pPr>
      <w:r>
        <w:rPr>
          <w:b/>
          <w:bCs/>
          <w:color w:val="333333"/>
          <w:sz w:val="22"/>
          <w:szCs w:val="22"/>
        </w:rPr>
        <w:t xml:space="preserve">Reference:  </w:t>
      </w:r>
      <w:r>
        <w:rPr>
          <w:color w:val="333333"/>
          <w:sz w:val="22"/>
          <w:szCs w:val="22"/>
        </w:rPr>
        <w:t xml:space="preserve">Full technical closure plan (uat/FULL_GO_CLOSURE_PLAN_2026-07-16) — available on request</w:t>
      </w:r>
    </w:p>
    <w:p>
      <w:pPr>
        <w:pStyle w:val="Heading1"/>
        <w:spacing w:after="160" w:before="320"/>
      </w:pPr>
      <w:r>
        <w:rPr>
          <w:b/>
          <w:bCs/>
          <w:color w:val="1F2251"/>
          <w:sz w:val="30"/>
          <w:szCs w:val="30"/>
        </w:rPr>
        <w:t xml:space="preserve">1. Purpose</w:t>
      </w:r>
    </w:p>
    <w:p>
      <w:pPr>
        <w:spacing w:after="160" w:before="0"/>
      </w:pPr>
      <w:r>
        <w:rPr>
          <w:color w:val="333333"/>
          <w:sz w:val="22"/>
          <w:szCs w:val="22"/>
        </w:rPr>
        <w:t xml:space="preserve">The platform has been through repeated rounds of independent end-to-end testing over the past two weeks. The most recent full test returned a conditional pass: the core money and privacy controls are strong, and what remains is a defined, finite list of work and decisions. This paper puts every remaining decision in front of you in plain language.</w:t>
      </w:r>
    </w:p>
    <w:p>
      <w:pPr>
        <w:spacing w:after="160" w:before="0"/>
      </w:pPr>
      <w:r>
        <w:rPr>
          <w:b/>
          <w:bCs/>
          <w:color w:val="333333"/>
          <w:sz w:val="22"/>
          <w:szCs w:val="22"/>
        </w:rPr>
        <w:t xml:space="preserve">Part A </w:t>
      </w:r>
      <w:r>
        <w:rPr>
          <w:color w:val="333333"/>
          <w:sz w:val="22"/>
          <w:szCs w:val="22"/>
        </w:rPr>
        <w:t xml:space="preserve">lists items already proceeding under safe defaults — you may override any of them, and an override simply reopens that piece of work. </w:t>
      </w:r>
      <w:r>
        <w:rPr>
          <w:b/>
          <w:bCs/>
          <w:color w:val="333333"/>
          <w:sz w:val="22"/>
          <w:szCs w:val="22"/>
        </w:rPr>
        <w:t xml:space="preserve">Part B </w:t>
      </w:r>
      <w:r>
        <w:rPr>
          <w:color w:val="333333"/>
          <w:sz w:val="22"/>
          <w:szCs w:val="22"/>
        </w:rPr>
        <w:t xml:space="preserve">lists the thirteen decisions only the business can make. The engineering work is not the bottleneck; these decisions are.</w:t>
      </w:r>
    </w:p>
    <w:p>
      <w:pPr>
        <w:pStyle w:val="Heading1"/>
        <w:spacing w:after="160" w:before="320"/>
      </w:pPr>
      <w:r>
        <w:rPr>
          <w:b/>
          <w:bCs/>
          <w:color w:val="1F2251"/>
          <w:sz w:val="30"/>
          <w:szCs w:val="30"/>
        </w:rPr>
        <w:t xml:space="preserve">2. Where the system stands</w:t>
      </w:r>
    </w:p>
    <w:p>
      <w:pPr>
        <w:spacing w:after="100" w:before="0"/>
      </w:pPr>
      <w:r>
        <w:rPr>
          <w:b/>
          <w:bCs/>
          <w:color w:val="1F2251"/>
          <w:sz w:val="22"/>
          <w:szCs w:val="22"/>
        </w:rPr>
        <w:t xml:space="preserve">Verified strong in live testing:</w:t>
      </w:r>
    </w:p>
    <w:p>
      <w:pPr>
        <w:pStyle w:val="ListParagraph"/>
        <w:numPr>
          <w:ilvl w:val="0"/>
          <w:numId w:val="2"/>
        </w:numPr>
        <w:spacing w:after="100"/>
      </w:pPr>
      <w:r>
        <w:rPr>
          <w:color w:val="333333"/>
          <w:sz w:val="22"/>
          <w:szCs w:val="22"/>
        </w:rPr>
        <w:t xml:space="preserve">Every shilling that leaves the fund is traced end-to-end: claim → approval → payment voucher → balanced ledger, with payment happening exactly once even when buttons are pressed twice.</w:t>
      </w:r>
    </w:p>
    <w:p>
      <w:pPr>
        <w:pStyle w:val="ListParagraph"/>
        <w:numPr>
          <w:ilvl w:val="0"/>
          <w:numId w:val="2"/>
        </w:numPr>
        <w:spacing w:after="100"/>
      </w:pPr>
      <w:r>
        <w:rPr>
          <w:color w:val="333333"/>
          <w:sz w:val="22"/>
          <w:szCs w:val="22"/>
        </w:rPr>
        <w:t xml:space="preserve">Two-person controls hold: no one can both prepare and release a payment, and large approvals require two different approvers — even administrators cannot shortcut this.</w:t>
      </w:r>
    </w:p>
    <w:p>
      <w:pPr>
        <w:pStyle w:val="ListParagraph"/>
        <w:numPr>
          <w:ilvl w:val="0"/>
          <w:numId w:val="2"/>
        </w:numPr>
        <w:spacing w:after="100"/>
      </w:pPr>
      <w:r>
        <w:rPr>
          <w:color w:val="333333"/>
          <w:sz w:val="22"/>
          <w:szCs w:val="22"/>
        </w:rPr>
        <w:t xml:space="preserve">Each client's and each facility's data is walled off from the others; deliberate break-in attempts during testing were rejected.</w:t>
      </w:r>
    </w:p>
    <w:p>
      <w:pPr>
        <w:pStyle w:val="ListParagraph"/>
        <w:numPr>
          <w:ilvl w:val="0"/>
          <w:numId w:val="2"/>
        </w:numPr>
        <w:spacing w:after="100"/>
      </w:pPr>
      <w:r>
        <w:rPr>
          <w:color w:val="333333"/>
          <w:sz w:val="22"/>
          <w:szCs w:val="22"/>
        </w:rPr>
        <w:t xml:space="preserve">A tamper-evident audit trail records who did what, when, from where.</w:t>
      </w:r>
    </w:p>
    <w:p>
      <w:pPr>
        <w:pStyle w:val="ListParagraph"/>
        <w:numPr>
          <w:ilvl w:val="0"/>
          <w:numId w:val="2"/>
        </w:numPr>
        <w:spacing w:after="100"/>
      </w:pPr>
      <w:r>
        <w:rPr>
          <w:color w:val="333333"/>
          <w:sz w:val="22"/>
          <w:szCs w:val="22"/>
        </w:rPr>
        <w:t xml:space="preserve">Fraud screening now blocks payment on flagged claims until a human clears them.</w:t>
      </w:r>
    </w:p>
    <w:p>
      <w:pPr>
        <w:spacing w:after="100" w:before="160"/>
      </w:pPr>
      <w:r>
        <w:rPr>
          <w:b/>
          <w:bCs/>
          <w:color w:val="8A6D1D"/>
          <w:sz w:val="22"/>
          <w:szCs w:val="22"/>
        </w:rPr>
        <w:t xml:space="preserve">Being fixed now (the main open item):</w:t>
      </w:r>
    </w:p>
    <w:p>
      <w:pPr>
        <w:pStyle w:val="ListParagraph"/>
        <w:numPr>
          <w:ilvl w:val="0"/>
          <w:numId w:val="2"/>
        </w:numPr>
        <w:spacing w:after="100"/>
      </w:pPr>
      <w:r>
        <w:rPr>
          <w:b/>
          <w:bCs/>
          <w:color w:val="333333"/>
          <w:sz w:val="22"/>
          <w:szCs w:val="22"/>
        </w:rPr>
        <w:t xml:space="preserve">The system does not yet automatically stop approving care once a member's annual benefit allowance is used up. </w:t>
      </w:r>
      <w:r>
        <w:rPr>
          <w:color w:val="333333"/>
          <w:sz w:val="22"/>
          <w:szCs w:val="22"/>
        </w:rPr>
        <w:t xml:space="preserve">A reviewer can see the balance, but nothing hard-stops an approval beyond it. The fix is designed in detail and in progress; outpatient and hospital-admission testing re-run after it lands. This is the single most important remaining piece of engineering, and it shapes decision 1 below.</w:t>
      </w:r>
    </w:p>
    <w:p>
      <w:pPr>
        <w:spacing w:after="100" w:before="160"/>
      </w:pPr>
      <w:r>
        <w:rPr>
          <w:b/>
          <w:bCs/>
          <w:color w:val="1F2251"/>
          <w:sz w:val="22"/>
          <w:szCs w:val="22"/>
        </w:rPr>
        <w:t xml:space="preserve">Also worth knowing:</w:t>
      </w:r>
    </w:p>
    <w:p>
      <w:pPr>
        <w:pStyle w:val="ListParagraph"/>
        <w:numPr>
          <w:ilvl w:val="0"/>
          <w:numId w:val="2"/>
        </w:numPr>
        <w:spacing w:after="100"/>
      </w:pPr>
      <w:r>
        <w:rPr>
          <w:color w:val="333333"/>
          <w:sz w:val="22"/>
          <w:szCs w:val="22"/>
        </w:rPr>
        <w:t xml:space="preserve">Everything in the system today is test data: 2,750 synthetic NWSC member records and one small demo client. Real member data loads only after the data-protection items in Part B.</w:t>
      </w:r>
    </w:p>
    <w:p>
      <w:pPr>
        <w:pStyle w:val="ListParagraph"/>
        <w:numPr>
          <w:ilvl w:val="0"/>
          <w:numId w:val="2"/>
        </w:numPr>
        <w:spacing w:after="100"/>
      </w:pPr>
      <w:r>
        <w:rPr>
          <w:color w:val="333333"/>
          <w:sz w:val="22"/>
          <w:szCs w:val="22"/>
        </w:rPr>
        <w:t xml:space="preserve">The system currently runs on reputable cloud infrastructure outside Uganda. The plan remains to move to a Kampala data centre; until then, interim overseas hosting is the one compromise this launch carries — and we propose NWSC accepts it in writing rather than by silence.</w:t>
      </w:r>
    </w:p>
    <w:p>
      <w:pPr>
        <w:pStyle w:val="Heading1"/>
        <w:spacing w:after="160" w:before="320"/>
      </w:pPr>
      <w:r>
        <w:rPr>
          <w:b/>
          <w:bCs/>
          <w:color w:val="1F2251"/>
          <w:sz w:val="30"/>
          <w:szCs w:val="30"/>
        </w:rPr>
        <w:t xml:space="preserve">3. Part A — proceeding under safe defaults</w:t>
      </w:r>
    </w:p>
    <w:p>
      <w:pPr>
        <w:spacing w:after="160" w:before="0"/>
      </w:pPr>
      <w:r>
        <w:rPr>
          <w:color w:val="333333"/>
          <w:sz w:val="22"/>
          <w:szCs w:val="22"/>
        </w:rPr>
        <w:t xml:space="preserve">These are already in motion. Overriding any of them at the review meeting is fine — it reopens that piece of work with the revised instruction.</w:t>
      </w:r>
    </w:p>
    <w:tbl>
      <w:tblPr>
        <w:tblW w:type="dxa" w:w="9500"/>
        <w:tblBorders>
          <w:top w:val="single" w:color="D9DCE5" w:sz="4"/>
          <w:left w:val="single" w:color="D9DCE5" w:sz="4"/>
          <w:bottom w:val="single" w:color="D9DCE5" w:sz="4"/>
          <w:right w:val="single" w:color="D9DCE5" w:sz="4"/>
          <w:insideH w:val="single" w:color="D9DCE5" w:sz="4"/>
          <w:insideV w:val="single" w:color="D9DCE5" w:sz="4"/>
        </w:tblBorders>
      </w:tblPr>
      <w:tblGrid>
        <w:gridCol w:w="1200"/>
        <w:gridCol w:w="3200"/>
        <w:gridCol w:w="5100"/>
      </w:tblGrid>
      <w:tr>
        <w:trPr>
          <w:tblHeader/>
        </w:trPr>
        <w:tc>
          <w:tcPr>
            <w:tcW w:type="dxa" w:w="1200"/>
            <w:shd w:fill="EEF0F6" w:val="clear"/>
          </w:tcPr>
          <w:p>
            <w:pPr>
              <w:spacing w:after="40" w:before="40"/>
            </w:pPr>
            <w:r>
              <w:rPr>
                <w:b/>
                <w:bCs/>
                <w:color w:val="1F2251"/>
                <w:sz w:val="20"/>
                <w:szCs w:val="20"/>
              </w:rPr>
              <w:t xml:space="preserve">Ref</w:t>
            </w:r>
          </w:p>
        </w:tc>
        <w:tc>
          <w:tcPr>
            <w:tcW w:type="dxa" w:w="3200"/>
            <w:shd w:fill="EEF0F6" w:val="clear"/>
          </w:tcPr>
          <w:p>
            <w:pPr>
              <w:spacing w:after="40" w:before="40"/>
            </w:pPr>
            <w:r>
              <w:rPr>
                <w:b/>
                <w:bCs/>
                <w:color w:val="1F2251"/>
                <w:sz w:val="20"/>
                <w:szCs w:val="20"/>
              </w:rPr>
              <w:t xml:space="preserve">Topic</w:t>
            </w:r>
          </w:p>
        </w:tc>
        <w:tc>
          <w:tcPr>
            <w:tcW w:type="dxa" w:w="5100"/>
            <w:shd w:fill="EEF0F6" w:val="clear"/>
          </w:tcPr>
          <w:p>
            <w:pPr>
              <w:spacing w:after="40" w:before="40"/>
            </w:pPr>
            <w:r>
              <w:rPr>
                <w:b/>
                <w:bCs/>
                <w:color w:val="1F2251"/>
                <w:sz w:val="20"/>
                <w:szCs w:val="20"/>
              </w:rPr>
              <w:t xml:space="preserve">Default now applied</w:t>
            </w:r>
          </w:p>
        </w:tc>
      </w:tr>
      <w:tr>
        <w:tc>
          <w:tcPr>
            <w:tcW w:type="dxa" w:w="1200"/>
          </w:tcPr>
          <w:p>
            <w:pPr>
              <w:spacing w:after="40" w:before="40"/>
            </w:pPr>
            <w:r>
              <w:rPr>
                <w:color w:val="333333"/>
                <w:sz w:val="20"/>
                <w:szCs w:val="20"/>
              </w:rPr>
              <w:t xml:space="preserve">DEC-02</w:t>
            </w:r>
          </w:p>
        </w:tc>
        <w:tc>
          <w:tcPr>
            <w:tcW w:type="dxa" w:w="3200"/>
          </w:tcPr>
          <w:p>
            <w:pPr>
              <w:spacing w:after="40" w:before="40"/>
            </w:pPr>
            <w:r>
              <w:rPr>
                <w:color w:val="333333"/>
                <w:sz w:val="20"/>
                <w:szCs w:val="20"/>
              </w:rPr>
              <w:t xml:space="preserve">What counts against a member's allowance</w:t>
            </w:r>
          </w:p>
        </w:tc>
        <w:tc>
          <w:tcPr>
            <w:tcW w:type="dxa" w:w="5100"/>
          </w:tcPr>
          <w:p>
            <w:pPr>
              <w:spacing w:after="40" w:before="40"/>
            </w:pPr>
            <w:r>
              <w:rPr>
                <w:color w:val="333333"/>
                <w:sz w:val="20"/>
                <w:szCs w:val="20"/>
              </w:rPr>
              <w:t xml:space="preserve">The amount approved for payment (not the hospital's asking price).</w:t>
            </w:r>
          </w:p>
        </w:tc>
      </w:tr>
      <w:tr>
        <w:tc>
          <w:tcPr>
            <w:tcW w:type="dxa" w:w="1200"/>
          </w:tcPr>
          <w:p>
            <w:pPr>
              <w:spacing w:after="40" w:before="40"/>
            </w:pPr>
            <w:r>
              <w:rPr>
                <w:color w:val="333333"/>
                <w:sz w:val="20"/>
                <w:szCs w:val="20"/>
              </w:rPr>
              <w:t xml:space="preserve">DEC-03</w:t>
            </w:r>
          </w:p>
        </w:tc>
        <w:tc>
          <w:tcPr>
            <w:tcW w:type="dxa" w:w="3200"/>
          </w:tcPr>
          <w:p>
            <w:pPr>
              <w:spacing w:after="40" w:before="40"/>
            </w:pPr>
            <w:r>
              <w:rPr>
                <w:color w:val="333333"/>
                <w:sz w:val="20"/>
                <w:szCs w:val="20"/>
              </w:rPr>
              <w:t xml:space="preserve">Overall annual cap</w:t>
            </w:r>
          </w:p>
        </w:tc>
        <w:tc>
          <w:tcPr>
            <w:tcW w:type="dxa" w:w="5100"/>
          </w:tcPr>
          <w:p>
            <w:pPr>
              <w:spacing w:after="40" w:before="40"/>
            </w:pPr>
            <w:r>
              <w:rPr>
                <w:color w:val="333333"/>
                <w:sz w:val="20"/>
                <w:szCs w:val="20"/>
              </w:rPr>
              <w:t xml:space="preserve">The plan's overall annual limit binds in addition to per-category limits.</w:t>
            </w:r>
          </w:p>
        </w:tc>
      </w:tr>
      <w:tr>
        <w:tc>
          <w:tcPr>
            <w:tcW w:type="dxa" w:w="1200"/>
          </w:tcPr>
          <w:p>
            <w:pPr>
              <w:spacing w:after="40" w:before="40"/>
            </w:pPr>
            <w:r>
              <w:rPr>
                <w:color w:val="333333"/>
                <w:sz w:val="20"/>
                <w:szCs w:val="20"/>
              </w:rPr>
              <w:t xml:space="preserve">DEC-04</w:t>
            </w:r>
          </w:p>
        </w:tc>
        <w:tc>
          <w:tcPr>
            <w:tcW w:type="dxa" w:w="3200"/>
          </w:tcPr>
          <w:p>
            <w:pPr>
              <w:spacing w:after="40" w:before="40"/>
            </w:pPr>
            <w:r>
              <w:rPr>
                <w:color w:val="333333"/>
                <w:sz w:val="20"/>
                <w:szCs w:val="20"/>
              </w:rPr>
              <w:t xml:space="preserve">When a request exceeds what is left</w:t>
            </w:r>
          </w:p>
        </w:tc>
        <w:tc>
          <w:tcPr>
            <w:tcW w:type="dxa" w:w="5100"/>
          </w:tcPr>
          <w:p>
            <w:pPr>
              <w:spacing w:after="40" w:before="40"/>
            </w:pPr>
            <w:r>
              <w:rPr>
                <w:color w:val="333333"/>
                <w:sz w:val="20"/>
                <w:szCs w:val="20"/>
              </w:rPr>
              <w:t xml:space="preserve">Block it, and offer an explicit partial approval up to exactly what remains. Never silently shave amounts.</w:t>
            </w:r>
          </w:p>
        </w:tc>
      </w:tr>
      <w:tr>
        <w:tc>
          <w:tcPr>
            <w:tcW w:type="dxa" w:w="1200"/>
          </w:tcPr>
          <w:p>
            <w:pPr>
              <w:spacing w:after="40" w:before="40"/>
            </w:pPr>
            <w:r>
              <w:rPr>
                <w:color w:val="333333"/>
                <w:sz w:val="20"/>
                <w:szCs w:val="20"/>
              </w:rPr>
              <w:t xml:space="preserve">DEC-05</w:t>
            </w:r>
          </w:p>
        </w:tc>
        <w:tc>
          <w:tcPr>
            <w:tcW w:type="dxa" w:w="3200"/>
          </w:tcPr>
          <w:p>
            <w:pPr>
              <w:spacing w:after="40" w:before="40"/>
            </w:pPr>
            <w:r>
              <w:rPr>
                <w:color w:val="333333"/>
                <w:sz w:val="20"/>
                <w:szCs w:val="20"/>
              </w:rPr>
              <w:t xml:space="preserve">Family-shared allowances</w:t>
            </w:r>
          </w:p>
        </w:tc>
        <w:tc>
          <w:tcPr>
            <w:tcW w:type="dxa" w:w="5100"/>
          </w:tcPr>
          <w:p>
            <w:pPr>
              <w:spacing w:after="40" w:before="40"/>
            </w:pPr>
            <w:r>
              <w:rPr>
                <w:color w:val="333333"/>
                <w:sz w:val="20"/>
                <w:szCs w:val="20"/>
              </w:rPr>
              <w:t xml:space="preserve">Spouses and children draw from the shared family pot where the plan defines one.</w:t>
            </w:r>
          </w:p>
        </w:tc>
      </w:tr>
      <w:tr>
        <w:tc>
          <w:tcPr>
            <w:tcW w:type="dxa" w:w="1200"/>
          </w:tcPr>
          <w:p>
            <w:pPr>
              <w:spacing w:after="40" w:before="40"/>
            </w:pPr>
            <w:r>
              <w:rPr>
                <w:color w:val="333333"/>
                <w:sz w:val="20"/>
                <w:szCs w:val="20"/>
              </w:rPr>
              <w:t xml:space="preserve">DEC-06</w:t>
            </w:r>
          </w:p>
        </w:tc>
        <w:tc>
          <w:tcPr>
            <w:tcW w:type="dxa" w:w="3200"/>
          </w:tcPr>
          <w:p>
            <w:pPr>
              <w:spacing w:after="40" w:before="40"/>
            </w:pPr>
            <w:r>
              <w:rPr>
                <w:color w:val="333333"/>
                <w:sz w:val="20"/>
                <w:szCs w:val="20"/>
              </w:rPr>
              <w:t xml:space="preserve">Inconsistent family records</w:t>
            </w:r>
          </w:p>
        </w:tc>
        <w:tc>
          <w:tcPr>
            <w:tcW w:type="dxa" w:w="5100"/>
          </w:tcPr>
          <w:p>
            <w:pPr>
              <w:spacing w:after="40" w:before="40"/>
            </w:pPr>
            <w:r>
              <w:rPr>
                <w:color w:val="333333"/>
                <w:sz w:val="20"/>
                <w:szCs w:val="20"/>
              </w:rPr>
              <w:t xml:space="preserve">Refuse and flag for correction rather than guess.</w:t>
            </w:r>
          </w:p>
        </w:tc>
      </w:tr>
      <w:tr>
        <w:tc>
          <w:tcPr>
            <w:tcW w:type="dxa" w:w="1200"/>
          </w:tcPr>
          <w:p>
            <w:pPr>
              <w:spacing w:after="40" w:before="40"/>
            </w:pPr>
            <w:r>
              <w:rPr>
                <w:color w:val="333333"/>
                <w:sz w:val="20"/>
                <w:szCs w:val="20"/>
              </w:rPr>
              <w:t xml:space="preserve">DEC-08</w:t>
            </w:r>
          </w:p>
        </w:tc>
        <w:tc>
          <w:tcPr>
            <w:tcW w:type="dxa" w:w="3200"/>
          </w:tcPr>
          <w:p>
            <w:pPr>
              <w:spacing w:after="40" w:before="40"/>
            </w:pPr>
            <w:r>
              <w:rPr>
                <w:color w:val="333333"/>
                <w:sz w:val="20"/>
                <w:szCs w:val="20"/>
              </w:rPr>
              <w:t xml:space="preserve">Housekeeping jobs (reminders, alerts, report refreshes)</w:t>
            </w:r>
          </w:p>
        </w:tc>
        <w:tc>
          <w:tcPr>
            <w:tcW w:type="dxa" w:w="5100"/>
          </w:tcPr>
          <w:p>
            <w:pPr>
              <w:spacing w:after="40" w:before="40"/>
            </w:pPr>
            <w:r>
              <w:rPr>
                <w:color w:val="333333"/>
                <w:sz w:val="20"/>
                <w:szCs w:val="20"/>
              </w:rPr>
              <w:t xml:space="preserve">Run on a small dedicated always-on service (roughly US$10–15 per month).</w:t>
            </w:r>
          </w:p>
        </w:tc>
      </w:tr>
      <w:tr>
        <w:tc>
          <w:tcPr>
            <w:tcW w:type="dxa" w:w="1200"/>
          </w:tcPr>
          <w:p>
            <w:pPr>
              <w:spacing w:after="40" w:before="40"/>
            </w:pPr>
            <w:r>
              <w:rPr>
                <w:color w:val="333333"/>
                <w:sz w:val="20"/>
                <w:szCs w:val="20"/>
              </w:rPr>
              <w:t xml:space="preserve">DEC-09</w:t>
            </w:r>
          </w:p>
        </w:tc>
        <w:tc>
          <w:tcPr>
            <w:tcW w:type="dxa" w:w="3200"/>
          </w:tcPr>
          <w:p>
            <w:pPr>
              <w:spacing w:after="40" w:before="40"/>
            </w:pPr>
            <w:r>
              <w:rPr>
                <w:color w:val="333333"/>
                <w:sz w:val="20"/>
                <w:szCs w:val="20"/>
              </w:rPr>
              <w:t xml:space="preserve">Two-step login</w:t>
            </w:r>
          </w:p>
        </w:tc>
        <w:tc>
          <w:tcPr>
            <w:tcW w:type="dxa" w:w="5100"/>
          </w:tcPr>
          <w:p>
            <w:pPr>
              <w:spacing w:after="40" w:before="40"/>
            </w:pPr>
            <w:r>
              <w:rPr>
                <w:color w:val="333333"/>
                <w:sz w:val="20"/>
                <w:szCs w:val="20"/>
              </w:rPr>
              <w:t xml:space="preserve">Authenticator codes compulsory for administrators, finance and underwriting staff at launch.</w:t>
            </w:r>
          </w:p>
        </w:tc>
      </w:tr>
      <w:tr>
        <w:tc>
          <w:tcPr>
            <w:tcW w:type="dxa" w:w="1200"/>
          </w:tcPr>
          <w:p>
            <w:pPr>
              <w:spacing w:after="40" w:before="40"/>
            </w:pPr>
            <w:r>
              <w:rPr>
                <w:color w:val="333333"/>
                <w:sz w:val="20"/>
                <w:szCs w:val="20"/>
              </w:rPr>
              <w:t xml:space="preserve">DEC-14</w:t>
            </w:r>
          </w:p>
        </w:tc>
        <w:tc>
          <w:tcPr>
            <w:tcW w:type="dxa" w:w="3200"/>
          </w:tcPr>
          <w:p>
            <w:pPr>
              <w:spacing w:after="40" w:before="40"/>
            </w:pPr>
            <w:r>
              <w:rPr>
                <w:color w:val="333333"/>
                <w:sz w:val="20"/>
                <w:szCs w:val="20"/>
              </w:rPr>
              <w:t xml:space="preserve">The demo client (Pearl / Kyoga Foods)</w:t>
            </w:r>
          </w:p>
        </w:tc>
        <w:tc>
          <w:tcPr>
            <w:tcW w:type="dxa" w:w="5100"/>
          </w:tcPr>
          <w:p>
            <w:pPr>
              <w:spacing w:after="40" w:before="40"/>
            </w:pPr>
            <w:r>
              <w:rPr>
                <w:color w:val="333333"/>
                <w:sz w:val="20"/>
                <w:szCs w:val="20"/>
              </w:rPr>
              <w:t xml:space="preserve">Kept permanently as a training and testing sandbox, clearly separated from real clients.</w:t>
            </w:r>
          </w:p>
        </w:tc>
      </w:tr>
      <w:tr>
        <w:tc>
          <w:tcPr>
            <w:tcW w:type="dxa" w:w="1200"/>
          </w:tcPr>
          <w:p>
            <w:pPr>
              <w:spacing w:after="40" w:before="40"/>
            </w:pPr>
            <w:r>
              <w:rPr>
                <w:color w:val="333333"/>
                <w:sz w:val="20"/>
                <w:szCs w:val="20"/>
              </w:rPr>
              <w:t xml:space="preserve">DEC-19</w:t>
            </w:r>
          </w:p>
        </w:tc>
        <w:tc>
          <w:tcPr>
            <w:tcW w:type="dxa" w:w="3200"/>
          </w:tcPr>
          <w:p>
            <w:pPr>
              <w:spacing w:after="40" w:before="40"/>
            </w:pPr>
            <w:r>
              <w:rPr>
                <w:color w:val="333333"/>
                <w:sz w:val="20"/>
                <w:szCs w:val="20"/>
              </w:rPr>
              <w:t xml:space="preserve">Backups</w:t>
            </w:r>
          </w:p>
        </w:tc>
        <w:tc>
          <w:tcPr>
            <w:tcW w:type="dxa" w:w="5100"/>
          </w:tcPr>
          <w:p>
            <w:pPr>
              <w:spacing w:after="40" w:before="40"/>
            </w:pPr>
            <w:r>
              <w:rPr>
                <w:color w:val="333333"/>
                <w:sz w:val="20"/>
                <w:szCs w:val="20"/>
              </w:rPr>
              <w:t xml:space="preserve">Continuous point-in-time database backups enabled, with a restore rehearsal performed and evidenced.</w:t>
            </w:r>
          </w:p>
        </w:tc>
      </w:tr>
      <w:tr>
        <w:tc>
          <w:tcPr>
            <w:tcW w:type="dxa" w:w="1200"/>
          </w:tcPr>
          <w:p>
            <w:pPr>
              <w:spacing w:after="40" w:before="40"/>
            </w:pPr>
            <w:r>
              <w:rPr>
                <w:color w:val="333333"/>
                <w:sz w:val="20"/>
                <w:szCs w:val="20"/>
              </w:rPr>
              <w:t xml:space="preserve">DEC-20</w:t>
            </w:r>
          </w:p>
        </w:tc>
        <w:tc>
          <w:tcPr>
            <w:tcW w:type="dxa" w:w="3200"/>
          </w:tcPr>
          <w:p>
            <w:pPr>
              <w:spacing w:after="40" w:before="40"/>
            </w:pPr>
            <w:r>
              <w:rPr>
                <w:color w:val="333333"/>
                <w:sz w:val="20"/>
                <w:szCs w:val="20"/>
              </w:rPr>
              <w:t xml:space="preserve">Database change discipline</w:t>
            </w:r>
          </w:p>
        </w:tc>
        <w:tc>
          <w:tcPr>
            <w:tcW w:type="dxa" w:w="5100"/>
          </w:tcPr>
          <w:p>
            <w:pPr>
              <w:spacing w:after="40" w:before="40"/>
            </w:pPr>
            <w:r>
              <w:rPr>
                <w:color w:val="333333"/>
                <w:sz w:val="20"/>
                <w:szCs w:val="20"/>
              </w:rPr>
              <w:t xml:space="preserve">Adopt a formal, versioned change process now — it protects data through the future Kampala migration.</w:t>
            </w:r>
          </w:p>
        </w:tc>
      </w:tr>
      <w:tr>
        <w:tc>
          <w:tcPr>
            <w:tcW w:type="dxa" w:w="1200"/>
          </w:tcPr>
          <w:p>
            <w:pPr>
              <w:spacing w:after="40" w:before="40"/>
            </w:pPr>
            <w:r>
              <w:rPr>
                <w:color w:val="333333"/>
                <w:sz w:val="20"/>
                <w:szCs w:val="20"/>
              </w:rPr>
              <w:t xml:space="preserve">DEC-21</w:t>
            </w:r>
          </w:p>
        </w:tc>
        <w:tc>
          <w:tcPr>
            <w:tcW w:type="dxa" w:w="3200"/>
          </w:tcPr>
          <w:p>
            <w:pPr>
              <w:spacing w:after="40" w:before="40"/>
            </w:pPr>
            <w:r>
              <w:rPr>
                <w:color w:val="333333"/>
                <w:sz w:val="20"/>
                <w:szCs w:val="20"/>
              </w:rPr>
              <w:t xml:space="preserve">Stress test</w:t>
            </w:r>
          </w:p>
        </w:tc>
        <w:tc>
          <w:tcPr>
            <w:tcW w:type="dxa" w:w="5100"/>
          </w:tcPr>
          <w:p>
            <w:pPr>
              <w:spacing w:after="40" w:before="40"/>
            </w:pPr>
            <w:r>
              <w:rPr>
                <w:color w:val="333333"/>
                <w:sz w:val="20"/>
                <w:szCs w:val="20"/>
              </w:rPr>
              <w:t xml:space="preserve">Simulate a busy day (all staff plus clinic traffic) on a copy of the system, never on the live one.</w:t>
            </w:r>
          </w:p>
        </w:tc>
      </w:tr>
      <w:tr>
        <w:tc>
          <w:tcPr>
            <w:tcW w:type="dxa" w:w="1200"/>
          </w:tcPr>
          <w:p>
            <w:pPr>
              <w:spacing w:after="40" w:before="40"/>
            </w:pPr>
            <w:r>
              <w:rPr>
                <w:color w:val="333333"/>
                <w:sz w:val="20"/>
                <w:szCs w:val="20"/>
              </w:rPr>
              <w:t xml:space="preserve">DEC-23</w:t>
            </w:r>
          </w:p>
        </w:tc>
        <w:tc>
          <w:tcPr>
            <w:tcW w:type="dxa" w:w="3200"/>
          </w:tcPr>
          <w:p>
            <w:pPr>
              <w:spacing w:after="40" w:before="40"/>
            </w:pPr>
            <w:r>
              <w:rPr>
                <w:color w:val="333333"/>
                <w:sz w:val="20"/>
                <w:szCs w:val="20"/>
              </w:rPr>
              <w:t xml:space="preserve">Simultaneous-action safety tests</w:t>
            </w:r>
          </w:p>
        </w:tc>
        <w:tc>
          <w:tcPr>
            <w:tcW w:type="dxa" w:w="5100"/>
          </w:tcPr>
          <w:p>
            <w:pPr>
              <w:spacing w:after="40" w:before="40"/>
            </w:pPr>
            <w:r>
              <w:rPr>
                <w:color w:val="333333"/>
                <w:sz w:val="20"/>
                <w:szCs w:val="20"/>
              </w:rPr>
              <w:t xml:space="preserve">Run the remaining double-click / double-payment style checks live, against the demo client.</w:t>
            </w:r>
          </w:p>
        </w:tc>
      </w:tr>
      <w:tr>
        <w:tc>
          <w:tcPr>
            <w:tcW w:type="dxa" w:w="1200"/>
          </w:tcPr>
          <w:p>
            <w:pPr>
              <w:spacing w:after="40" w:before="40"/>
            </w:pPr>
            <w:r>
              <w:rPr>
                <w:color w:val="333333"/>
                <w:sz w:val="20"/>
                <w:szCs w:val="20"/>
              </w:rPr>
              <w:t xml:space="preserve">DEC-24</w:t>
            </w:r>
          </w:p>
        </w:tc>
        <w:tc>
          <w:tcPr>
            <w:tcW w:type="dxa" w:w="3200"/>
          </w:tcPr>
          <w:p>
            <w:pPr>
              <w:spacing w:after="40" w:before="40"/>
            </w:pPr>
            <w:r>
              <w:rPr>
                <w:color w:val="333333"/>
                <w:sz w:val="20"/>
                <w:szCs w:val="20"/>
              </w:rPr>
              <w:t xml:space="preserve">Where the code lives</w:t>
            </w:r>
          </w:p>
        </w:tc>
        <w:tc>
          <w:tcPr>
            <w:tcW w:type="dxa" w:w="5100"/>
          </w:tcPr>
          <w:p>
            <w:pPr>
              <w:spacing w:after="40" w:before="40"/>
            </w:pPr>
            <w:r>
              <w:rPr>
                <w:color w:val="333333"/>
                <w:sz w:val="20"/>
                <w:szCs w:val="20"/>
              </w:rPr>
              <w:t xml:space="preserve">Move off personal iCloud sync; the team repository becomes the single source of truth.</w:t>
            </w:r>
          </w:p>
        </w:tc>
      </w:tr>
    </w:tbl>
    <w:p>
      <w:r>
        <w:br w:type="page"/>
      </w:r>
    </w:p>
    <w:p>
      <w:pPr>
        <w:pStyle w:val="Heading1"/>
        <w:spacing w:after="160" w:before="320"/>
      </w:pPr>
      <w:r>
        <w:rPr>
          <w:b/>
          <w:bCs/>
          <w:color w:val="1F2251"/>
          <w:sz w:val="30"/>
          <w:szCs w:val="30"/>
        </w:rPr>
        <w:t xml:space="preserve">4. Part B — the thirteen decisions we need from you</w:t>
      </w:r>
    </w:p>
    <w:p>
      <w:pPr>
        <w:pStyle w:val="Heading2"/>
        <w:spacing w:after="120" w:before="260"/>
      </w:pPr>
      <w:r>
        <w:rPr>
          <w:b/>
          <w:bCs/>
          <w:color w:val="1F2251"/>
          <w:sz w:val="25"/>
          <w:szCs w:val="25"/>
        </w:rPr>
        <w:t xml:space="preserve">1. Do we include hospital admissions at launch?  (DEC-01)</w:t>
      </w:r>
    </w:p>
    <w:p>
      <w:pPr>
        <w:spacing w:after="160" w:before="0"/>
      </w:pPr>
      <w:r>
        <w:rPr>
          <w:b/>
          <w:bCs/>
          <w:color w:val="1F2251"/>
          <w:sz w:val="22"/>
          <w:szCs w:val="22"/>
        </w:rPr>
        <w:t xml:space="preserve">The question. </w:t>
      </w:r>
      <w:r>
        <w:rPr>
          <w:color w:val="333333"/>
          <w:sz w:val="22"/>
          <w:szCs w:val="22"/>
        </w:rPr>
        <w:t xml:space="preserve">Launch with outpatient care only, or with both outpatient and hospital admissions from day one?</w:t>
      </w:r>
    </w:p>
    <w:p>
      <w:pPr>
        <w:spacing w:after="160" w:before="0"/>
      </w:pPr>
      <w:r>
        <w:rPr>
          <w:b/>
          <w:bCs/>
          <w:color w:val="1F2251"/>
          <w:sz w:val="22"/>
          <w:szCs w:val="22"/>
        </w:rPr>
        <w:t xml:space="preserve">Why it matters. </w:t>
      </w:r>
      <w:r>
        <w:rPr>
          <w:color w:val="333333"/>
          <w:sz w:val="22"/>
          <w:szCs w:val="22"/>
        </w:rPr>
        <w:t xml:space="preserve">Outpatient processing has passed the strongest testing. Hospital admissions passed the end-to-end money test, but an earlier admissions test round found gaps — most importantly the benefit-allowance cap described above — which are only now being fixed and must then be re-tested from scratch. Launching admissions before that re-test passes would mean carrying a known financial-control gap into live operations.</w:t>
      </w:r>
    </w:p>
    <w:p>
      <w:pPr>
        <w:spacing w:after="160" w:before="0"/>
      </w:pPr>
      <w:r>
        <w:rPr>
          <w:b/>
          <w:bCs/>
          <w:color w:val="1F2251"/>
          <w:sz w:val="22"/>
          <w:szCs w:val="22"/>
        </w:rPr>
        <w:t xml:space="preserve">Our recommendation. </w:t>
      </w:r>
      <w:r>
        <w:rPr>
          <w:color w:val="333333"/>
          <w:sz w:val="22"/>
          <w:szCs w:val="22"/>
        </w:rPr>
        <w:t xml:space="preserve">If the launch date is tight: start with outpatient only and switch admissions on a short time later, once the fix lands and the admissions re-test passes. If there is no date pressure: hold the launch until both pass together. We do not recommend launching admissions before the re-test under any circumstances.</w:t>
      </w:r>
    </w:p>
    <w:p>
      <w:pPr>
        <w:spacing w:after="160" w:before="0"/>
      </w:pPr>
      <w:r>
        <w:rPr>
          <w:b/>
          <w:bCs/>
          <w:color w:val="8A6D1D"/>
          <w:sz w:val="22"/>
          <w:szCs w:val="22"/>
        </w:rPr>
        <w:t xml:space="preserve">What we need from you. </w:t>
      </w:r>
      <w:r>
        <w:rPr>
          <w:color w:val="333333"/>
          <w:sz w:val="22"/>
          <w:szCs w:val="22"/>
        </w:rPr>
        <w:t xml:space="preserve">A choice: (a) outpatient first, admissions to follow; or (b) one combined launch after re-testing.</w:t>
      </w:r>
    </w:p>
    <w:p>
      <w:pPr>
        <w:pStyle w:val="Heading2"/>
        <w:spacing w:after="120" w:before="260"/>
      </w:pPr>
      <w:r>
        <w:rPr>
          <w:b/>
          <w:bCs/>
          <w:color w:val="1F2251"/>
          <w:sz w:val="25"/>
          <w:szCs w:val="25"/>
        </w:rPr>
        <w:t xml:space="preserve">2. Who certifies the benefits match the NWSC contract?  (DEC-07)</w:t>
      </w:r>
    </w:p>
    <w:p>
      <w:pPr>
        <w:spacing w:after="160" w:before="0"/>
      </w:pPr>
      <w:r>
        <w:rPr>
          <w:b/>
          <w:bCs/>
          <w:color w:val="1F2251"/>
          <w:sz w:val="22"/>
          <w:szCs w:val="22"/>
        </w:rPr>
        <w:t xml:space="preserve">The question. </w:t>
      </w:r>
      <w:r>
        <w:rPr>
          <w:color w:val="333333"/>
          <w:sz w:val="22"/>
          <w:szCs w:val="22"/>
        </w:rPr>
        <w:t xml:space="preserve">Which named person at Medvex confirms that every limit, co-payment, waiting period and exclusion configured in the system matches the signed NWSC contract?</w:t>
      </w:r>
    </w:p>
    <w:p>
      <w:pPr>
        <w:spacing w:after="160" w:before="0"/>
      </w:pPr>
      <w:r>
        <w:rPr>
          <w:b/>
          <w:bCs/>
          <w:color w:val="1F2251"/>
          <w:sz w:val="22"/>
          <w:szCs w:val="22"/>
        </w:rPr>
        <w:t xml:space="preserve">Why it matters. </w:t>
      </w:r>
      <w:r>
        <w:rPr>
          <w:color w:val="333333"/>
          <w:sz w:val="22"/>
          <w:szCs w:val="22"/>
        </w:rPr>
        <w:t xml:space="preserve">The system enforces exactly what is configured. If the configuration differs from the contract, the system will faithfully enforce the wrong thing.</w:t>
      </w:r>
    </w:p>
    <w:p>
      <w:pPr>
        <w:spacing w:after="160" w:before="0"/>
      </w:pPr>
      <w:r>
        <w:rPr>
          <w:b/>
          <w:bCs/>
          <w:color w:val="1F2251"/>
          <w:sz w:val="22"/>
          <w:szCs w:val="22"/>
        </w:rPr>
        <w:t xml:space="preserve">Our recommendation. </w:t>
      </w:r>
      <w:r>
        <w:rPr>
          <w:color w:val="333333"/>
          <w:sz w:val="22"/>
          <w:szCs w:val="22"/>
        </w:rPr>
        <w:t xml:space="preserve">Name one accountable owner (typically the head of underwriting or operations); they sign a one-page confirmation against the contract schedule.</w:t>
      </w:r>
    </w:p>
    <w:p>
      <w:pPr>
        <w:spacing w:after="160" w:before="0"/>
      </w:pPr>
      <w:r>
        <w:rPr>
          <w:b/>
          <w:bCs/>
          <w:color w:val="8A6D1D"/>
          <w:sz w:val="22"/>
          <w:szCs w:val="22"/>
        </w:rPr>
        <w:t xml:space="preserve">What we need from you. </w:t>
      </w:r>
      <w:r>
        <w:rPr>
          <w:color w:val="333333"/>
          <w:sz w:val="22"/>
          <w:szCs w:val="22"/>
        </w:rPr>
        <w:t xml:space="preserve">A name, and their signed confirmation before real members load.</w:t>
      </w:r>
    </w:p>
    <w:p>
      <w:pPr>
        <w:pStyle w:val="Heading2"/>
        <w:spacing w:after="120" w:before="260"/>
      </w:pPr>
      <w:r>
        <w:rPr>
          <w:b/>
          <w:bCs/>
          <w:color w:val="1F2251"/>
          <w:sz w:val="25"/>
          <w:szCs w:val="25"/>
        </w:rPr>
        <w:t xml:space="preserve">3. Named staff accounts and roles  (DEC-10)</w:t>
      </w:r>
    </w:p>
    <w:p>
      <w:pPr>
        <w:spacing w:after="160" w:before="0"/>
      </w:pPr>
      <w:r>
        <w:rPr>
          <w:b/>
          <w:bCs/>
          <w:color w:val="1F2251"/>
          <w:sz w:val="22"/>
          <w:szCs w:val="22"/>
        </w:rPr>
        <w:t xml:space="preserve">The question. </w:t>
      </w:r>
      <w:r>
        <w:rPr>
          <w:color w:val="333333"/>
          <w:sz w:val="22"/>
          <w:szCs w:val="22"/>
        </w:rPr>
        <w:t xml:space="preserve">Who at Medvex holds which role in the live system — claims officers, finance (one to prepare payments, another to approve them), underwriters, medical reviewer, customer service?</w:t>
      </w:r>
    </w:p>
    <w:p>
      <w:pPr>
        <w:spacing w:after="160" w:before="0"/>
      </w:pPr>
      <w:r>
        <w:rPr>
          <w:b/>
          <w:bCs/>
          <w:color w:val="1F2251"/>
          <w:sz w:val="22"/>
          <w:szCs w:val="22"/>
        </w:rPr>
        <w:t xml:space="preserve">Why it matters. </w:t>
      </w:r>
      <w:r>
        <w:rPr>
          <w:color w:val="333333"/>
          <w:sz w:val="22"/>
          <w:szCs w:val="22"/>
        </w:rPr>
        <w:t xml:space="preserve">The system enforces two-person controls on money: no single person can both prepare and release a payment, and large approvals need two underwriters. That arithmetic only works with at least two underwriters and two finance officers. Today the live system has only one underwriter, and testing-era shared logins are still active — those will be retired and every user becomes a named individual with their own password.</w:t>
      </w:r>
    </w:p>
    <w:p>
      <w:pPr>
        <w:spacing w:after="160" w:before="0"/>
      </w:pPr>
      <w:r>
        <w:rPr>
          <w:b/>
          <w:bCs/>
          <w:color w:val="1F2251"/>
          <w:sz w:val="22"/>
          <w:szCs w:val="22"/>
        </w:rPr>
        <w:t xml:space="preserve">Our recommendation. </w:t>
      </w:r>
      <w:r>
        <w:rPr>
          <w:color w:val="333333"/>
          <w:sz w:val="22"/>
          <w:szCs w:val="22"/>
        </w:rPr>
        <w:t xml:space="preserve">Provide the staff list; we create named accounts with forced password setup, retire all fifteen test-era logins, and end the shared-password practice.</w:t>
      </w:r>
    </w:p>
    <w:p>
      <w:pPr>
        <w:spacing w:after="160" w:before="0"/>
      </w:pPr>
      <w:r>
        <w:rPr>
          <w:b/>
          <w:bCs/>
          <w:color w:val="8A6D1D"/>
          <w:sz w:val="22"/>
          <w:szCs w:val="22"/>
        </w:rPr>
        <w:t xml:space="preserve">What we need from you. </w:t>
      </w:r>
      <w:r>
        <w:rPr>
          <w:color w:val="333333"/>
          <w:sz w:val="22"/>
          <w:szCs w:val="22"/>
        </w:rPr>
        <w:t xml:space="preserve">The named list (with at least 2 underwriters and 2 finance officers), and approval to retire all test logins.</w:t>
      </w:r>
    </w:p>
    <w:p>
      <w:pPr>
        <w:pStyle w:val="Heading2"/>
        <w:spacing w:after="120" w:before="260"/>
      </w:pPr>
      <w:r>
        <w:rPr>
          <w:b/>
          <w:bCs/>
          <w:color w:val="1F2251"/>
          <w:sz w:val="25"/>
          <w:szCs w:val="25"/>
        </w:rPr>
        <w:t xml:space="preserve">4. Who clears fraud alerts, and how fast?  (DEC-11)</w:t>
      </w:r>
    </w:p>
    <w:p>
      <w:pPr>
        <w:spacing w:after="160" w:before="0"/>
      </w:pPr>
      <w:r>
        <w:rPr>
          <w:b/>
          <w:bCs/>
          <w:color w:val="1F2251"/>
          <w:sz w:val="22"/>
          <w:szCs w:val="22"/>
        </w:rPr>
        <w:t xml:space="preserve">The question. </w:t>
      </w:r>
      <w:r>
        <w:rPr>
          <w:color w:val="333333"/>
          <w:sz w:val="22"/>
          <w:szCs w:val="22"/>
        </w:rPr>
        <w:t xml:space="preserve">Which team owns the fraud-alert queue, and what is the turnaround promise?</w:t>
      </w:r>
    </w:p>
    <w:p>
      <w:pPr>
        <w:spacing w:after="160" w:before="0"/>
      </w:pPr>
      <w:r>
        <w:rPr>
          <w:b/>
          <w:bCs/>
          <w:color w:val="1F2251"/>
          <w:sz w:val="22"/>
          <w:szCs w:val="22"/>
        </w:rPr>
        <w:t xml:space="preserve">Why it matters. </w:t>
      </w:r>
      <w:r>
        <w:rPr>
          <w:color w:val="333333"/>
          <w:sz w:val="22"/>
          <w:szCs w:val="22"/>
        </w:rPr>
        <w:t xml:space="preserve">Fraud screening now blocks payment: a flagged claim cannot be approved until someone reviews and clears the flag. That is the control working as designed — but it means an unattended queue quietly stops legitimate payments.</w:t>
      </w:r>
    </w:p>
    <w:p>
      <w:pPr>
        <w:spacing w:after="160" w:before="0"/>
      </w:pPr>
      <w:r>
        <w:rPr>
          <w:b/>
          <w:bCs/>
          <w:color w:val="1F2251"/>
          <w:sz w:val="22"/>
          <w:szCs w:val="22"/>
        </w:rPr>
        <w:t xml:space="preserve">Our recommendation. </w:t>
      </w:r>
      <w:r>
        <w:rPr>
          <w:color w:val="333333"/>
          <w:sz w:val="22"/>
          <w:szCs w:val="22"/>
        </w:rPr>
        <w:t xml:space="preserve">Name an owner (operations, fraud or medical) and set a 24-hour clearing target during business days.</w:t>
      </w:r>
    </w:p>
    <w:p>
      <w:pPr>
        <w:spacing w:after="160" w:before="0"/>
      </w:pPr>
      <w:r>
        <w:rPr>
          <w:b/>
          <w:bCs/>
          <w:color w:val="8A6D1D"/>
          <w:sz w:val="22"/>
          <w:szCs w:val="22"/>
        </w:rPr>
        <w:t xml:space="preserve">What we need from you. </w:t>
      </w:r>
      <w:r>
        <w:rPr>
          <w:color w:val="333333"/>
          <w:sz w:val="22"/>
          <w:szCs w:val="22"/>
        </w:rPr>
        <w:t xml:space="preserve">An owner and a turnaround target.</w:t>
      </w:r>
    </w:p>
    <w:p>
      <w:pPr>
        <w:pStyle w:val="Heading2"/>
        <w:spacing w:after="120" w:before="260"/>
      </w:pPr>
      <w:r>
        <w:rPr>
          <w:b/>
          <w:bCs/>
          <w:color w:val="1F2251"/>
          <w:sz w:val="25"/>
          <w:szCs w:val="25"/>
        </w:rPr>
        <w:t xml:space="preserve">5. Excluded medicines list  (DEC-12)</w:t>
      </w:r>
    </w:p>
    <w:p>
      <w:pPr>
        <w:spacing w:after="160" w:before="0"/>
      </w:pPr>
      <w:r>
        <w:rPr>
          <w:b/>
          <w:bCs/>
          <w:color w:val="1F2251"/>
          <w:sz w:val="22"/>
          <w:szCs w:val="22"/>
        </w:rPr>
        <w:t xml:space="preserve">The question. </w:t>
      </w:r>
      <w:r>
        <w:rPr>
          <w:color w:val="333333"/>
          <w:sz w:val="22"/>
          <w:szCs w:val="22"/>
        </w:rPr>
        <w:t xml:space="preserve">Do you want a list of excluded medicines enforced at the point of claim?</w:t>
      </w:r>
    </w:p>
    <w:p>
      <w:pPr>
        <w:spacing w:after="160" w:before="0"/>
      </w:pPr>
      <w:r>
        <w:rPr>
          <w:b/>
          <w:bCs/>
          <w:color w:val="1F2251"/>
          <w:sz w:val="22"/>
          <w:szCs w:val="22"/>
        </w:rPr>
        <w:t xml:space="preserve">Why it matters. </w:t>
      </w:r>
      <w:r>
        <w:rPr>
          <w:color w:val="333333"/>
          <w:sz w:val="22"/>
          <w:szCs w:val="22"/>
        </w:rPr>
        <w:t xml:space="preserve">The feature exists and works per client and package, but no exclusions are loaded, so nothing is being screened out today.</w:t>
      </w:r>
    </w:p>
    <w:p>
      <w:pPr>
        <w:spacing w:after="160" w:before="0"/>
      </w:pPr>
      <w:r>
        <w:rPr>
          <w:b/>
          <w:bCs/>
          <w:color w:val="1F2251"/>
          <w:sz w:val="22"/>
          <w:szCs w:val="22"/>
        </w:rPr>
        <w:t xml:space="preserve">Our recommendation. </w:t>
      </w:r>
      <w:r>
        <w:rPr>
          <w:color w:val="333333"/>
          <w:sz w:val="22"/>
          <w:szCs w:val="22"/>
        </w:rPr>
        <w:t xml:space="preserve">Provide the exclusion list from the NWSC contract if one applies; otherwise sign a one-line acceptance that launch proceeds without one.</w:t>
      </w:r>
    </w:p>
    <w:p>
      <w:pPr>
        <w:spacing w:after="160" w:before="0"/>
      </w:pPr>
      <w:r>
        <w:rPr>
          <w:b/>
          <w:bCs/>
          <w:color w:val="8A6D1D"/>
          <w:sz w:val="22"/>
          <w:szCs w:val="22"/>
        </w:rPr>
        <w:t xml:space="preserve">What we need from you. </w:t>
      </w:r>
      <w:r>
        <w:rPr>
          <w:color w:val="333333"/>
          <w:sz w:val="22"/>
          <w:szCs w:val="22"/>
        </w:rPr>
        <w:t xml:space="preserve">The list, or a signed 'launch without' acceptance.</w:t>
      </w:r>
    </w:p>
    <w:p>
      <w:pPr>
        <w:pStyle w:val="Heading2"/>
        <w:spacing w:after="120" w:before="260"/>
      </w:pPr>
      <w:r>
        <w:rPr>
          <w:b/>
          <w:bCs/>
          <w:color w:val="1F2251"/>
          <w:sz w:val="25"/>
          <w:szCs w:val="25"/>
        </w:rPr>
        <w:t xml:space="preserve">6. Launch hospital and clinic network  (DEC-13)</w:t>
      </w:r>
    </w:p>
    <w:p>
      <w:pPr>
        <w:spacing w:after="160" w:before="0"/>
      </w:pPr>
      <w:r>
        <w:rPr>
          <w:b/>
          <w:bCs/>
          <w:color w:val="1F2251"/>
          <w:sz w:val="22"/>
          <w:szCs w:val="22"/>
        </w:rPr>
        <w:t xml:space="preserve">The question. </w:t>
      </w:r>
      <w:r>
        <w:rPr>
          <w:color w:val="333333"/>
          <w:sz w:val="22"/>
          <w:szCs w:val="22"/>
        </w:rPr>
        <w:t xml:space="preserve">Which facilities are live at launch, and who at each facility receives their secure access codes?</w:t>
      </w:r>
    </w:p>
    <w:p>
      <w:pPr>
        <w:spacing w:after="160" w:before="0"/>
      </w:pPr>
      <w:r>
        <w:rPr>
          <w:b/>
          <w:bCs/>
          <w:color w:val="1F2251"/>
          <w:sz w:val="22"/>
          <w:szCs w:val="22"/>
        </w:rPr>
        <w:t xml:space="preserve">Why it matters. </w:t>
      </w:r>
      <w:r>
        <w:rPr>
          <w:color w:val="333333"/>
          <w:sz w:val="22"/>
          <w:szCs w:val="22"/>
        </w:rPr>
        <w:t xml:space="preserve">Each facility connects with its own private access code, locked to that facility's own patients and claims. Codes must reach the right custodian through a safe channel, and all existing codes will be re-issued fresh before launch.</w:t>
      </w:r>
    </w:p>
    <w:p>
      <w:pPr>
        <w:spacing w:after="160" w:before="0"/>
      </w:pPr>
      <w:r>
        <w:rPr>
          <w:b/>
          <w:bCs/>
          <w:color w:val="1F2251"/>
          <w:sz w:val="22"/>
          <w:szCs w:val="22"/>
        </w:rPr>
        <w:t xml:space="preserve">Our recommendation. </w:t>
      </w:r>
      <w:r>
        <w:rPr>
          <w:color w:val="333333"/>
          <w:sz w:val="22"/>
          <w:szCs w:val="22"/>
        </w:rPr>
        <w:t xml:space="preserve">Confirm the launch list against signed facility contracts; name one custodian per facility; we deliver codes through a secure channel and retire the old ones.</w:t>
      </w:r>
    </w:p>
    <w:p>
      <w:pPr>
        <w:spacing w:after="160" w:before="0"/>
      </w:pPr>
      <w:r>
        <w:rPr>
          <w:b/>
          <w:bCs/>
          <w:color w:val="8A6D1D"/>
          <w:sz w:val="22"/>
          <w:szCs w:val="22"/>
        </w:rPr>
        <w:t xml:space="preserve">What we need from you. </w:t>
      </w:r>
      <w:r>
        <w:rPr>
          <w:color w:val="333333"/>
          <w:sz w:val="22"/>
          <w:szCs w:val="22"/>
        </w:rPr>
        <w:t xml:space="preserve">The facility list and a named code custodian per facility.</w:t>
      </w:r>
    </w:p>
    <w:p>
      <w:pPr>
        <w:pStyle w:val="Heading2"/>
        <w:spacing w:after="120" w:before="260"/>
      </w:pPr>
      <w:r>
        <w:rPr>
          <w:b/>
          <w:bCs/>
          <w:color w:val="1F2251"/>
          <w:sz w:val="25"/>
          <w:szCs w:val="25"/>
        </w:rPr>
        <w:t xml:space="preserve">7. The real NWSC member list  (DEC-15)</w:t>
      </w:r>
    </w:p>
    <w:p>
      <w:pPr>
        <w:spacing w:after="160" w:before="0"/>
      </w:pPr>
      <w:r>
        <w:rPr>
          <w:b/>
          <w:bCs/>
          <w:color w:val="1F2251"/>
          <w:sz w:val="22"/>
          <w:szCs w:val="22"/>
        </w:rPr>
        <w:t xml:space="preserve">The question. </w:t>
      </w:r>
      <w:r>
        <w:rPr>
          <w:color w:val="333333"/>
          <w:sz w:val="22"/>
          <w:szCs w:val="22"/>
        </w:rPr>
        <w:t xml:space="preserve">When does the real member roster arrive, who owns its accuracy, and do you approve replacing today's test records at cutover?</w:t>
      </w:r>
    </w:p>
    <w:p>
      <w:pPr>
        <w:spacing w:after="160" w:before="0"/>
      </w:pPr>
      <w:r>
        <w:rPr>
          <w:b/>
          <w:bCs/>
          <w:color w:val="1F2251"/>
          <w:sz w:val="22"/>
          <w:szCs w:val="22"/>
        </w:rPr>
        <w:t xml:space="preserve">Why it matters. </w:t>
      </w:r>
      <w:r>
        <w:rPr>
          <w:color w:val="333333"/>
          <w:sz w:val="22"/>
          <w:szCs w:val="22"/>
        </w:rPr>
        <w:t xml:space="preserve">Everything in the system today is realistic but synthetic test data. Go-live means loading the genuine NWSC staff and dependant roster; the 2,750 test records are then removed in a single reviewed, reversible step.</w:t>
      </w:r>
    </w:p>
    <w:p>
      <w:pPr>
        <w:spacing w:after="160" w:before="0"/>
      </w:pPr>
      <w:r>
        <w:rPr>
          <w:b/>
          <w:bCs/>
          <w:color w:val="1F2251"/>
          <w:sz w:val="22"/>
          <w:szCs w:val="22"/>
        </w:rPr>
        <w:t xml:space="preserve">Our recommendation. </w:t>
      </w:r>
      <w:r>
        <w:rPr>
          <w:color w:val="333333"/>
          <w:sz w:val="22"/>
          <w:szCs w:val="22"/>
        </w:rPr>
        <w:t xml:space="preserve">NWSC HR provides the roster in the agreed format; a named person signs off its accuracy; we rehearse the swap on a copy before touching the live system.</w:t>
      </w:r>
    </w:p>
    <w:p>
      <w:pPr>
        <w:spacing w:after="160" w:before="0"/>
      </w:pPr>
      <w:r>
        <w:rPr>
          <w:b/>
          <w:bCs/>
          <w:color w:val="8A6D1D"/>
          <w:sz w:val="22"/>
          <w:szCs w:val="22"/>
        </w:rPr>
        <w:t xml:space="preserve">What we need from you. </w:t>
      </w:r>
      <w:r>
        <w:rPr>
          <w:color w:val="333333"/>
          <w:sz w:val="22"/>
          <w:szCs w:val="22"/>
        </w:rPr>
        <w:t xml:space="preserve">A delivery date, a data-accuracy signatory, and approval of the swap approach.</w:t>
      </w:r>
    </w:p>
    <w:p>
      <w:pPr>
        <w:pStyle w:val="Heading2"/>
        <w:spacing w:after="120" w:before="260"/>
      </w:pPr>
      <w:r>
        <w:rPr>
          <w:b/>
          <w:bCs/>
          <w:color w:val="1F2251"/>
          <w:sz w:val="25"/>
          <w:szCs w:val="25"/>
        </w:rPr>
        <w:t xml:space="preserve">8. Opening fund balance  (DEC-16)</w:t>
      </w:r>
    </w:p>
    <w:p>
      <w:pPr>
        <w:spacing w:after="160" w:before="0"/>
      </w:pPr>
      <w:r>
        <w:rPr>
          <w:b/>
          <w:bCs/>
          <w:color w:val="1F2251"/>
          <w:sz w:val="22"/>
          <w:szCs w:val="22"/>
        </w:rPr>
        <w:t xml:space="preserve">The question. </w:t>
      </w:r>
      <w:r>
        <w:rPr>
          <w:color w:val="333333"/>
          <w:sz w:val="22"/>
          <w:szCs w:val="22"/>
        </w:rPr>
        <w:t xml:space="preserve">What is the true opening balance of the NWSC medical fund, and who reconciles it against the bank?</w:t>
      </w:r>
    </w:p>
    <w:p>
      <w:pPr>
        <w:spacing w:after="160" w:before="0"/>
      </w:pPr>
      <w:r>
        <w:rPr>
          <w:b/>
          <w:bCs/>
          <w:color w:val="1F2251"/>
          <w:sz w:val="22"/>
          <w:szCs w:val="22"/>
        </w:rPr>
        <w:t xml:space="preserve">Why it matters. </w:t>
      </w:r>
      <w:r>
        <w:rPr>
          <w:color w:val="333333"/>
          <w:sz w:val="22"/>
          <w:szCs w:val="22"/>
        </w:rPr>
        <w:t xml:space="preserve">The 500 million shillings currently on the books is a placeholder we seeded for testing. The live fund must open with the genuine figure, and someone must own the routine of matching the system's fund ledger to the actual bank account.</w:t>
      </w:r>
    </w:p>
    <w:p>
      <w:pPr>
        <w:spacing w:after="160" w:before="0"/>
      </w:pPr>
      <w:r>
        <w:rPr>
          <w:b/>
          <w:bCs/>
          <w:color w:val="1F2251"/>
          <w:sz w:val="22"/>
          <w:szCs w:val="22"/>
        </w:rPr>
        <w:t xml:space="preserve">Our recommendation. </w:t>
      </w:r>
      <w:r>
        <w:rPr>
          <w:color w:val="333333"/>
          <w:sz w:val="22"/>
          <w:szCs w:val="22"/>
        </w:rPr>
        <w:t xml:space="preserve">Finance confirms the opening figure and names a reconciliation owner with a monthly (or tighter) cadence.</w:t>
      </w:r>
    </w:p>
    <w:p>
      <w:pPr>
        <w:spacing w:after="160" w:before="0"/>
      </w:pPr>
      <w:r>
        <w:rPr>
          <w:b/>
          <w:bCs/>
          <w:color w:val="8A6D1D"/>
          <w:sz w:val="22"/>
          <w:szCs w:val="22"/>
        </w:rPr>
        <w:t xml:space="preserve">What we need from you. </w:t>
      </w:r>
      <w:r>
        <w:rPr>
          <w:color w:val="333333"/>
          <w:sz w:val="22"/>
          <w:szCs w:val="22"/>
        </w:rPr>
        <w:t xml:space="preserve">The real figure and a named reconciliation owner.</w:t>
      </w:r>
    </w:p>
    <w:p>
      <w:pPr>
        <w:pStyle w:val="Heading2"/>
        <w:spacing w:after="120" w:before="260"/>
      </w:pPr>
      <w:r>
        <w:rPr>
          <w:b/>
          <w:bCs/>
          <w:color w:val="1F2251"/>
          <w:sz w:val="25"/>
          <w:szCs w:val="25"/>
        </w:rPr>
        <w:t xml:space="preserve">9. Data protection pack (Uganda DPPA)  (DEC-17)</w:t>
      </w:r>
    </w:p>
    <w:p>
      <w:pPr>
        <w:spacing w:after="160" w:before="0"/>
      </w:pPr>
      <w:r>
        <w:rPr>
          <w:b/>
          <w:bCs/>
          <w:color w:val="1F2251"/>
          <w:sz w:val="22"/>
          <w:szCs w:val="22"/>
        </w:rPr>
        <w:t xml:space="preserve">The question. </w:t>
      </w:r>
      <w:r>
        <w:rPr>
          <w:color w:val="333333"/>
          <w:sz w:val="22"/>
          <w:szCs w:val="22"/>
        </w:rPr>
        <w:t xml:space="preserve">Are we registered and papered for handling real health data — and will NWSC accept, in writing, the interim overseas hosting?</w:t>
      </w:r>
    </w:p>
    <w:p>
      <w:pPr>
        <w:spacing w:after="160" w:before="0"/>
      </w:pPr>
      <w:r>
        <w:rPr>
          <w:b/>
          <w:bCs/>
          <w:color w:val="1F2251"/>
          <w:sz w:val="22"/>
          <w:szCs w:val="22"/>
        </w:rPr>
        <w:t xml:space="preserve">Why it matters. </w:t>
      </w:r>
      <w:r>
        <w:rPr>
          <w:color w:val="333333"/>
          <w:sz w:val="22"/>
          <w:szCs w:val="22"/>
        </w:rPr>
        <w:t xml:space="preserve">Real member health data cannot load before this. Uganda's Data Protection and Privacy Act requires registration, a data-processing agreement with NWSC, a member privacy notice, and a breach procedure. Separately, until the planned Kampala data-centre move, the system runs on reputable cloud infrastructure outside Uganda — that is the single compromise this launch carries, and it should be a signed, time-bound acceptance rather than an unspoken one.</w:t>
      </w:r>
    </w:p>
    <w:p>
      <w:pPr>
        <w:spacing w:after="160" w:before="0"/>
      </w:pPr>
      <w:r>
        <w:rPr>
          <w:b/>
          <w:bCs/>
          <w:color w:val="1F2251"/>
          <w:sz w:val="22"/>
          <w:szCs w:val="22"/>
        </w:rPr>
        <w:t xml:space="preserve">Our recommendation. </w:t>
      </w:r>
      <w:r>
        <w:rPr>
          <w:color w:val="333333"/>
          <w:sz w:val="22"/>
          <w:szCs w:val="22"/>
        </w:rPr>
        <w:t xml:space="preserve">Complete the four DPPA items and obtain NWSC's written acceptance of interim hosting with the migration plan attached.</w:t>
      </w:r>
    </w:p>
    <w:p>
      <w:pPr>
        <w:spacing w:after="160" w:before="0"/>
      </w:pPr>
      <w:r>
        <w:rPr>
          <w:b/>
          <w:bCs/>
          <w:color w:val="8A6D1D"/>
          <w:sz w:val="22"/>
          <w:szCs w:val="22"/>
        </w:rPr>
        <w:t xml:space="preserve">What we need from you. </w:t>
      </w:r>
      <w:r>
        <w:rPr>
          <w:color w:val="333333"/>
          <w:sz w:val="22"/>
          <w:szCs w:val="22"/>
        </w:rPr>
        <w:t xml:space="preserve">Registration status, executed agreement and notice, breach procedure owner, and NWSC's written acceptance.</w:t>
      </w:r>
    </w:p>
    <w:p>
      <w:pPr>
        <w:pStyle w:val="Heading2"/>
        <w:spacing w:after="120" w:before="260"/>
      </w:pPr>
      <w:r>
        <w:rPr>
          <w:b/>
          <w:bCs/>
          <w:color w:val="1F2251"/>
          <w:sz w:val="25"/>
          <w:szCs w:val="25"/>
        </w:rPr>
        <w:t xml:space="preserve">10. Web address and email identity  (DEC-18)</w:t>
      </w:r>
    </w:p>
    <w:p>
      <w:pPr>
        <w:spacing w:after="160" w:before="0"/>
      </w:pPr>
      <w:r>
        <w:rPr>
          <w:b/>
          <w:bCs/>
          <w:color w:val="1F2251"/>
          <w:sz w:val="22"/>
          <w:szCs w:val="22"/>
        </w:rPr>
        <w:t xml:space="preserve">The question. </w:t>
      </w:r>
      <w:r>
        <w:rPr>
          <w:color w:val="333333"/>
          <w:sz w:val="22"/>
          <w:szCs w:val="22"/>
        </w:rPr>
        <w:t xml:space="preserve">What address do staff, members and hospitals use (for example portal.medvex.co.ug), and what email identity sends system messages (for example claims@medvex.co.ug)?</w:t>
      </w:r>
    </w:p>
    <w:p>
      <w:pPr>
        <w:spacing w:after="160" w:before="0"/>
      </w:pPr>
      <w:r>
        <w:rPr>
          <w:b/>
          <w:bCs/>
          <w:color w:val="1F2251"/>
          <w:sz w:val="22"/>
          <w:szCs w:val="22"/>
        </w:rPr>
        <w:t xml:space="preserve">Why it matters. </w:t>
      </w:r>
      <w:r>
        <w:rPr>
          <w:color w:val="333333"/>
          <w:sz w:val="22"/>
          <w:szCs w:val="22"/>
        </w:rPr>
        <w:t xml:space="preserve">Launching on a branded address avoids retraining everyone later, and messages from a genuine medvex.co.ug address are far less likely to be ignored or land in spam.</w:t>
      </w:r>
    </w:p>
    <w:p>
      <w:pPr>
        <w:spacing w:after="160" w:before="0"/>
      </w:pPr>
      <w:r>
        <w:rPr>
          <w:b/>
          <w:bCs/>
          <w:color w:val="1F2251"/>
          <w:sz w:val="22"/>
          <w:szCs w:val="22"/>
        </w:rPr>
        <w:t xml:space="preserve">Our recommendation. </w:t>
      </w:r>
      <w:r>
        <w:rPr>
          <w:color w:val="333333"/>
          <w:sz w:val="22"/>
          <w:szCs w:val="22"/>
        </w:rPr>
        <w:t xml:space="preserve">Pick both names now; the technical setup is about a day.</w:t>
      </w:r>
    </w:p>
    <w:p>
      <w:pPr>
        <w:spacing w:after="160" w:before="0"/>
      </w:pPr>
      <w:r>
        <w:rPr>
          <w:b/>
          <w:bCs/>
          <w:color w:val="8A6D1D"/>
          <w:sz w:val="22"/>
          <w:szCs w:val="22"/>
        </w:rPr>
        <w:t xml:space="preserve">What we need from you. </w:t>
      </w:r>
      <w:r>
        <w:rPr>
          <w:color w:val="333333"/>
          <w:sz w:val="22"/>
          <w:szCs w:val="22"/>
        </w:rPr>
        <w:t xml:space="preserve">The chosen web address and sending address.</w:t>
      </w:r>
    </w:p>
    <w:p>
      <w:pPr>
        <w:pStyle w:val="Heading2"/>
        <w:spacing w:after="120" w:before="260"/>
      </w:pPr>
      <w:r>
        <w:rPr>
          <w:b/>
          <w:bCs/>
          <w:color w:val="1F2251"/>
          <w:sz w:val="25"/>
          <w:szCs w:val="25"/>
        </w:rPr>
        <w:t xml:space="preserve">11. Launch governance  (DEC-22)</w:t>
      </w:r>
    </w:p>
    <w:p>
      <w:pPr>
        <w:spacing w:after="160" w:before="0"/>
      </w:pPr>
      <w:r>
        <w:rPr>
          <w:b/>
          <w:bCs/>
          <w:color w:val="1F2251"/>
          <w:sz w:val="22"/>
          <w:szCs w:val="22"/>
        </w:rPr>
        <w:t xml:space="preserve">The question. </w:t>
      </w:r>
      <w:r>
        <w:rPr>
          <w:color w:val="333333"/>
          <w:sz w:val="22"/>
          <w:szCs w:val="22"/>
        </w:rPr>
        <w:t xml:space="preserve">Launch date, support cover for the first weeks, the rollback rule, and who holds the final go/no-go call.</w:t>
      </w:r>
    </w:p>
    <w:p>
      <w:pPr>
        <w:spacing w:after="160" w:before="0"/>
      </w:pPr>
      <w:r>
        <w:rPr>
          <w:b/>
          <w:bCs/>
          <w:color w:val="1F2251"/>
          <w:sz w:val="22"/>
          <w:szCs w:val="22"/>
        </w:rPr>
        <w:t xml:space="preserve">Why it matters. </w:t>
      </w:r>
      <w:r>
        <w:rPr>
          <w:color w:val="333333"/>
          <w:sz w:val="22"/>
          <w:szCs w:val="22"/>
        </w:rPr>
        <w:t xml:space="preserve">A controlled launch needs these agreed before, not during, the first difficult day.</w:t>
      </w:r>
    </w:p>
    <w:p>
      <w:pPr>
        <w:spacing w:after="160" w:before="0"/>
      </w:pPr>
      <w:r>
        <w:rPr>
          <w:b/>
          <w:bCs/>
          <w:color w:val="1F2251"/>
          <w:sz w:val="22"/>
          <w:szCs w:val="22"/>
        </w:rPr>
        <w:t xml:space="preserve">Our recommendation. </w:t>
      </w:r>
      <w:r>
        <w:rPr>
          <w:color w:val="333333"/>
          <w:sz w:val="22"/>
          <w:szCs w:val="22"/>
        </w:rPr>
        <w:t xml:space="preserve">Set the date after the re-test verdict; run a two-week hypercare window with named on-call staff; agree in advance what triggers a rollback (we keep a full backup and the previous version ready).</w:t>
      </w:r>
    </w:p>
    <w:p>
      <w:pPr>
        <w:spacing w:after="160" w:before="0"/>
      </w:pPr>
      <w:r>
        <w:rPr>
          <w:b/>
          <w:bCs/>
          <w:color w:val="8A6D1D"/>
          <w:sz w:val="22"/>
          <w:szCs w:val="22"/>
        </w:rPr>
        <w:t xml:space="preserve">What we need from you. </w:t>
      </w:r>
      <w:r>
        <w:rPr>
          <w:color w:val="333333"/>
          <w:sz w:val="22"/>
          <w:szCs w:val="22"/>
        </w:rPr>
        <w:t xml:space="preserve">A date, an on-call rota, a rollback trigger, and the name of the final decision-maker.</w:t>
      </w:r>
    </w:p>
    <w:p>
      <w:pPr>
        <w:pStyle w:val="Heading2"/>
        <w:spacing w:after="120" w:before="260"/>
      </w:pPr>
      <w:r>
        <w:rPr>
          <w:b/>
          <w:bCs/>
          <w:color w:val="1F2251"/>
          <w:sz w:val="25"/>
          <w:szCs w:val="25"/>
        </w:rPr>
        <w:t xml:space="preserve">12. How members hear from us  (DEC-25)</w:t>
      </w:r>
    </w:p>
    <w:p>
      <w:pPr>
        <w:spacing w:after="160" w:before="0"/>
      </w:pPr>
      <w:r>
        <w:rPr>
          <w:b/>
          <w:bCs/>
          <w:color w:val="1F2251"/>
          <w:sz w:val="22"/>
          <w:szCs w:val="22"/>
        </w:rPr>
        <w:t xml:space="preserve">The question. </w:t>
      </w:r>
      <w:r>
        <w:rPr>
          <w:color w:val="333333"/>
          <w:sz w:val="22"/>
          <w:szCs w:val="22"/>
        </w:rPr>
        <w:t xml:space="preserve">Do members get SMS, email, or both for claim and approval outcomes?</w:t>
      </w:r>
    </w:p>
    <w:p>
      <w:pPr>
        <w:spacing w:after="160" w:before="0"/>
      </w:pPr>
      <w:r>
        <w:rPr>
          <w:b/>
          <w:bCs/>
          <w:color w:val="1F2251"/>
          <w:sz w:val="22"/>
          <w:szCs w:val="22"/>
        </w:rPr>
        <w:t xml:space="preserve">Why it matters. </w:t>
      </w:r>
      <w:r>
        <w:rPr>
          <w:color w:val="333333"/>
          <w:sz w:val="22"/>
          <w:szCs w:val="22"/>
        </w:rPr>
        <w:t xml:space="preserve">The system already writes a member notification at every decision; the outbound channel is a business choice with a small per-message cost (SMS) versus deliverability questions (email).</w:t>
      </w:r>
    </w:p>
    <w:p>
      <w:pPr>
        <w:spacing w:after="160" w:before="0"/>
      </w:pPr>
      <w:r>
        <w:rPr>
          <w:b/>
          <w:bCs/>
          <w:color w:val="1F2251"/>
          <w:sz w:val="22"/>
          <w:szCs w:val="22"/>
        </w:rPr>
        <w:t xml:space="preserve">Our recommendation. </w:t>
      </w:r>
      <w:r>
        <w:rPr>
          <w:color w:val="333333"/>
          <w:sz w:val="22"/>
          <w:szCs w:val="22"/>
        </w:rPr>
        <w:t xml:space="preserve">SMS for decisions and approvals (near-universal reach in Uganda), email as a secondary channel where an address exists.</w:t>
      </w:r>
    </w:p>
    <w:p>
      <w:pPr>
        <w:spacing w:after="160" w:before="0"/>
      </w:pPr>
      <w:r>
        <w:rPr>
          <w:b/>
          <w:bCs/>
          <w:color w:val="8A6D1D"/>
          <w:sz w:val="22"/>
          <w:szCs w:val="22"/>
        </w:rPr>
        <w:t xml:space="preserve">What we need from you. </w:t>
      </w:r>
      <w:r>
        <w:rPr>
          <w:color w:val="333333"/>
          <w:sz w:val="22"/>
          <w:szCs w:val="22"/>
        </w:rPr>
        <w:t xml:space="preserve">The channel choice, and the budget nod for SMS costs.</w:t>
      </w:r>
    </w:p>
    <w:p>
      <w:pPr>
        <w:pStyle w:val="Heading2"/>
        <w:spacing w:after="120" w:before="260"/>
      </w:pPr>
      <w:r>
        <w:rPr>
          <w:b/>
          <w:bCs/>
          <w:color w:val="1F2251"/>
          <w:sz w:val="25"/>
          <w:szCs w:val="25"/>
        </w:rPr>
        <w:t xml:space="preserve">13. Uganda statutory levies  (DEC-26)</w:t>
      </w:r>
    </w:p>
    <w:p>
      <w:pPr>
        <w:spacing w:after="160" w:before="0"/>
      </w:pPr>
      <w:r>
        <w:rPr>
          <w:b/>
          <w:bCs/>
          <w:color w:val="1F2251"/>
          <w:sz w:val="22"/>
          <w:szCs w:val="22"/>
        </w:rPr>
        <w:t xml:space="preserve">The question. </w:t>
      </w:r>
      <w:r>
        <w:rPr>
          <w:color w:val="333333"/>
          <w:sz w:val="22"/>
          <w:szCs w:val="22"/>
        </w:rPr>
        <w:t xml:space="preserve">Which statutory levies and taxes apply to this business in Uganda?</w:t>
      </w:r>
    </w:p>
    <w:p>
      <w:pPr>
        <w:spacing w:after="160" w:before="0"/>
      </w:pPr>
      <w:r>
        <w:rPr>
          <w:b/>
          <w:bCs/>
          <w:color w:val="1F2251"/>
          <w:sz w:val="22"/>
          <w:szCs w:val="22"/>
        </w:rPr>
        <w:t xml:space="preserve">Why it matters. </w:t>
      </w:r>
      <w:r>
        <w:rPr>
          <w:color w:val="333333"/>
          <w:sz w:val="22"/>
          <w:szCs w:val="22"/>
        </w:rPr>
        <w:t xml:space="preserve">The system's levy list is currently the Kenyan set (stamp duty, training levy, PHCF) inherited from the platform's origins. Filing returns computed on the wrong country's levy structure is a compliance failure, so we have deliberately not guessed Uganda's equivalents.</w:t>
      </w:r>
    </w:p>
    <w:p>
      <w:pPr>
        <w:spacing w:after="160" w:before="0"/>
      </w:pPr>
      <w:r>
        <w:rPr>
          <w:b/>
          <w:bCs/>
          <w:color w:val="1F2251"/>
          <w:sz w:val="22"/>
          <w:szCs w:val="22"/>
        </w:rPr>
        <w:t xml:space="preserve">Our recommendation. </w:t>
      </w:r>
      <w:r>
        <w:rPr>
          <w:color w:val="333333"/>
          <w:sz w:val="22"/>
          <w:szCs w:val="22"/>
        </w:rPr>
        <w:t xml:space="preserve">Compliance specifies the Ugandan levy set and rates; we reconfigure and re-run the levies report before the first filing period.</w:t>
      </w:r>
    </w:p>
    <w:p>
      <w:pPr>
        <w:spacing w:after="160" w:before="0"/>
      </w:pPr>
      <w:r>
        <w:rPr>
          <w:b/>
          <w:bCs/>
          <w:color w:val="8A6D1D"/>
          <w:sz w:val="22"/>
          <w:szCs w:val="22"/>
        </w:rPr>
        <w:t xml:space="preserve">What we need from you. </w:t>
      </w:r>
      <w:r>
        <w:rPr>
          <w:color w:val="333333"/>
          <w:sz w:val="22"/>
          <w:szCs w:val="22"/>
        </w:rPr>
        <w:t xml:space="preserve">The Ugandan levy list, rates, and effective dates from your compliance advisor.</w:t>
      </w:r>
    </w:p>
    <w:p>
      <w:r>
        <w:br w:type="page"/>
      </w:r>
    </w:p>
    <w:p>
      <w:pPr>
        <w:pStyle w:val="Heading1"/>
        <w:spacing w:after="160" w:before="320"/>
      </w:pPr>
      <w:r>
        <w:rPr>
          <w:b/>
          <w:bCs/>
          <w:color w:val="1F2251"/>
          <w:sz w:val="30"/>
          <w:szCs w:val="30"/>
        </w:rPr>
        <w:t xml:space="preserve">5. Timeline and what “full go” means</w:t>
      </w:r>
    </w:p>
    <w:p>
      <w:pPr>
        <w:spacing w:after="160" w:before="0"/>
      </w:pPr>
      <w:r>
        <w:rPr>
          <w:color w:val="333333"/>
          <w:sz w:val="22"/>
          <w:szCs w:val="22"/>
        </w:rPr>
        <w:t xml:space="preserve">Once Part B decisions land: roughly one week of engineering (dominated by the benefit-allowance fix) and one week of full re-testing, run in parallel with your data-protection and member-roster items. “Full go” means: every fix deployed and re-tested live, no unexplained findings of any severity, real users with individual logins, real member data loaded under the DPPA pack, backups and monitoring proven — and exactly one recorded caveat: interim overseas hosting, accepted in writing, with the Kampala migration plan attached.</w:t>
      </w:r>
    </w:p>
    <w:p>
      <w:pPr>
        <w:pStyle w:val="Heading1"/>
        <w:spacing w:after="160" w:before="320"/>
      </w:pPr>
      <w:r>
        <w:rPr>
          <w:b/>
          <w:bCs/>
          <w:color w:val="1F2251"/>
          <w:sz w:val="30"/>
          <w:szCs w:val="30"/>
        </w:rPr>
        <w:t xml:space="preserve">6. Decision record</w:t>
      </w:r>
    </w:p>
    <w:p>
      <w:pPr>
        <w:spacing w:after="160" w:before="0"/>
      </w:pPr>
      <w:r>
        <w:rPr>
          <w:color w:val="333333"/>
          <w:sz w:val="22"/>
          <w:szCs w:val="22"/>
        </w:rPr>
        <w:t xml:space="preserve">For completion at the meeting.</w:t>
      </w:r>
    </w:p>
    <w:tbl>
      <w:tblPr>
        <w:tblW w:type="dxa" w:w="9500"/>
        <w:tblBorders>
          <w:top w:val="single" w:color="D9DCE5" w:sz="4"/>
          <w:left w:val="single" w:color="D9DCE5" w:sz="4"/>
          <w:bottom w:val="single" w:color="D9DCE5" w:sz="4"/>
          <w:right w:val="single" w:color="D9DCE5" w:sz="4"/>
          <w:insideH w:val="single" w:color="D9DCE5" w:sz="4"/>
          <w:insideV w:val="single" w:color="D9DCE5" w:sz="4"/>
        </w:tblBorders>
      </w:tblPr>
      <w:tblGrid>
        <w:gridCol w:w="1100"/>
        <w:gridCol w:w="4300"/>
        <w:gridCol w:w="2000"/>
        <w:gridCol w:w="2100"/>
      </w:tblGrid>
      <w:tr>
        <w:trPr>
          <w:tblHeader/>
        </w:trPr>
        <w:tc>
          <w:tcPr>
            <w:tcW w:type="dxa" w:w="1100"/>
            <w:shd w:fill="EEF0F6" w:val="clear"/>
          </w:tcPr>
          <w:p>
            <w:pPr>
              <w:spacing w:after="40" w:before="40"/>
            </w:pPr>
            <w:r>
              <w:rPr>
                <w:b/>
                <w:bCs/>
                <w:color w:val="1F2251"/>
                <w:sz w:val="20"/>
                <w:szCs w:val="20"/>
              </w:rPr>
              <w:t xml:space="preserve">Ref</w:t>
            </w:r>
          </w:p>
        </w:tc>
        <w:tc>
          <w:tcPr>
            <w:tcW w:type="dxa" w:w="4300"/>
            <w:shd w:fill="EEF0F6" w:val="clear"/>
          </w:tcPr>
          <w:p>
            <w:pPr>
              <w:spacing w:after="40" w:before="40"/>
            </w:pPr>
            <w:r>
              <w:rPr>
                <w:b/>
                <w:bCs/>
                <w:color w:val="1F2251"/>
                <w:sz w:val="20"/>
                <w:szCs w:val="20"/>
              </w:rPr>
              <w:t xml:space="preserve">Decision</w:t>
            </w:r>
          </w:p>
        </w:tc>
        <w:tc>
          <w:tcPr>
            <w:tcW w:type="dxa" w:w="2000"/>
            <w:shd w:fill="EEF0F6" w:val="clear"/>
          </w:tcPr>
          <w:p>
            <w:pPr>
              <w:spacing w:after="40" w:before="40"/>
            </w:pPr>
            <w:r>
              <w:rPr>
                <w:b/>
                <w:bCs/>
                <w:color w:val="1F2251"/>
                <w:sz w:val="20"/>
                <w:szCs w:val="20"/>
              </w:rPr>
              <w:t xml:space="preserve">Decided by</w:t>
            </w:r>
          </w:p>
        </w:tc>
        <w:tc>
          <w:tcPr>
            <w:tcW w:type="dxa" w:w="2100"/>
            <w:shd w:fill="EEF0F6" w:val="clear"/>
          </w:tcPr>
          <w:p>
            <w:pPr>
              <w:spacing w:after="40" w:before="40"/>
            </w:pPr>
            <w:r>
              <w:rPr>
                <w:b/>
                <w:bCs/>
                <w:color w:val="1F2251"/>
                <w:sz w:val="20"/>
                <w:szCs w:val="20"/>
              </w:rPr>
              <w:t xml:space="preserve">Decision &amp; date</w:t>
            </w:r>
          </w:p>
        </w:tc>
      </w:tr>
      <w:tr>
        <w:tc>
          <w:tcPr>
            <w:tcW w:type="dxa" w:w="1100"/>
          </w:tcPr>
          <w:p>
            <w:pPr>
              <w:spacing w:after="40" w:before="40"/>
            </w:pPr>
            <w:r>
              <w:rPr>
                <w:color w:val="333333"/>
                <w:sz w:val="20"/>
                <w:szCs w:val="20"/>
              </w:rPr>
              <w:t xml:space="preserve">DEC-01</w:t>
            </w:r>
          </w:p>
        </w:tc>
        <w:tc>
          <w:tcPr>
            <w:tcW w:type="dxa" w:w="4300"/>
          </w:tcPr>
          <w:p>
            <w:pPr>
              <w:spacing w:after="40" w:before="40"/>
            </w:pPr>
            <w:r>
              <w:rPr>
                <w:color w:val="333333"/>
                <w:sz w:val="20"/>
                <w:szCs w:val="20"/>
              </w:rPr>
              <w:t xml:space="preserve">Do we include hospital admissions at launch?</w:t>
            </w:r>
          </w:p>
        </w:tc>
        <w:tc>
          <w:tcPr>
            <w:tcW w:type="dxa" w:w="2000"/>
          </w:tcPr>
          <w:p>
            <w:pPr>
              <w:spacing w:after="40" w:before="40"/>
            </w:pPr>
            <w:r>
              <w:rPr>
                <w:color w:val="333333"/>
                <w:sz w:val="20"/>
                <w:szCs w:val="20"/>
              </w:rPr>
              <w:t xml:space="preserve"/>
            </w:r>
          </w:p>
        </w:tc>
        <w:tc>
          <w:tcPr>
            <w:tcW w:type="dxa" w:w="2100"/>
          </w:tcPr>
          <w:p>
            <w:pPr>
              <w:spacing w:after="40" w:before="40"/>
            </w:pPr>
            <w:r>
              <w:rPr>
                <w:color w:val="333333"/>
                <w:sz w:val="20"/>
                <w:szCs w:val="20"/>
              </w:rPr>
              <w:t xml:space="preserve"/>
            </w:r>
          </w:p>
        </w:tc>
      </w:tr>
      <w:tr>
        <w:tc>
          <w:tcPr>
            <w:tcW w:type="dxa" w:w="1100"/>
          </w:tcPr>
          <w:p>
            <w:pPr>
              <w:spacing w:after="40" w:before="40"/>
            </w:pPr>
            <w:r>
              <w:rPr>
                <w:color w:val="333333"/>
                <w:sz w:val="20"/>
                <w:szCs w:val="20"/>
              </w:rPr>
              <w:t xml:space="preserve">DEC-07</w:t>
            </w:r>
          </w:p>
        </w:tc>
        <w:tc>
          <w:tcPr>
            <w:tcW w:type="dxa" w:w="4300"/>
          </w:tcPr>
          <w:p>
            <w:pPr>
              <w:spacing w:after="40" w:before="40"/>
            </w:pPr>
            <w:r>
              <w:rPr>
                <w:color w:val="333333"/>
                <w:sz w:val="20"/>
                <w:szCs w:val="20"/>
              </w:rPr>
              <w:t xml:space="preserve">Who certifies the benefits match the NWSC contract?</w:t>
            </w:r>
          </w:p>
        </w:tc>
        <w:tc>
          <w:tcPr>
            <w:tcW w:type="dxa" w:w="2000"/>
          </w:tcPr>
          <w:p>
            <w:pPr>
              <w:spacing w:after="40" w:before="40"/>
            </w:pPr>
            <w:r>
              <w:rPr>
                <w:color w:val="333333"/>
                <w:sz w:val="20"/>
                <w:szCs w:val="20"/>
              </w:rPr>
              <w:t xml:space="preserve"/>
            </w:r>
          </w:p>
        </w:tc>
        <w:tc>
          <w:tcPr>
            <w:tcW w:type="dxa" w:w="2100"/>
          </w:tcPr>
          <w:p>
            <w:pPr>
              <w:spacing w:after="40" w:before="40"/>
            </w:pPr>
            <w:r>
              <w:rPr>
                <w:color w:val="333333"/>
                <w:sz w:val="20"/>
                <w:szCs w:val="20"/>
              </w:rPr>
              <w:t xml:space="preserve"/>
            </w:r>
          </w:p>
        </w:tc>
      </w:tr>
      <w:tr>
        <w:tc>
          <w:tcPr>
            <w:tcW w:type="dxa" w:w="1100"/>
          </w:tcPr>
          <w:p>
            <w:pPr>
              <w:spacing w:after="40" w:before="40"/>
            </w:pPr>
            <w:r>
              <w:rPr>
                <w:color w:val="333333"/>
                <w:sz w:val="20"/>
                <w:szCs w:val="20"/>
              </w:rPr>
              <w:t xml:space="preserve">DEC-10</w:t>
            </w:r>
          </w:p>
        </w:tc>
        <w:tc>
          <w:tcPr>
            <w:tcW w:type="dxa" w:w="4300"/>
          </w:tcPr>
          <w:p>
            <w:pPr>
              <w:spacing w:after="40" w:before="40"/>
            </w:pPr>
            <w:r>
              <w:rPr>
                <w:color w:val="333333"/>
                <w:sz w:val="20"/>
                <w:szCs w:val="20"/>
              </w:rPr>
              <w:t xml:space="preserve">Named staff accounts and roles</w:t>
            </w:r>
          </w:p>
        </w:tc>
        <w:tc>
          <w:tcPr>
            <w:tcW w:type="dxa" w:w="2000"/>
          </w:tcPr>
          <w:p>
            <w:pPr>
              <w:spacing w:after="40" w:before="40"/>
            </w:pPr>
            <w:r>
              <w:rPr>
                <w:color w:val="333333"/>
                <w:sz w:val="20"/>
                <w:szCs w:val="20"/>
              </w:rPr>
              <w:t xml:space="preserve"/>
            </w:r>
          </w:p>
        </w:tc>
        <w:tc>
          <w:tcPr>
            <w:tcW w:type="dxa" w:w="2100"/>
          </w:tcPr>
          <w:p>
            <w:pPr>
              <w:spacing w:after="40" w:before="40"/>
            </w:pPr>
            <w:r>
              <w:rPr>
                <w:color w:val="333333"/>
                <w:sz w:val="20"/>
                <w:szCs w:val="20"/>
              </w:rPr>
              <w:t xml:space="preserve"/>
            </w:r>
          </w:p>
        </w:tc>
      </w:tr>
      <w:tr>
        <w:tc>
          <w:tcPr>
            <w:tcW w:type="dxa" w:w="1100"/>
          </w:tcPr>
          <w:p>
            <w:pPr>
              <w:spacing w:after="40" w:before="40"/>
            </w:pPr>
            <w:r>
              <w:rPr>
                <w:color w:val="333333"/>
                <w:sz w:val="20"/>
                <w:szCs w:val="20"/>
              </w:rPr>
              <w:t xml:space="preserve">DEC-11</w:t>
            </w:r>
          </w:p>
        </w:tc>
        <w:tc>
          <w:tcPr>
            <w:tcW w:type="dxa" w:w="4300"/>
          </w:tcPr>
          <w:p>
            <w:pPr>
              <w:spacing w:after="40" w:before="40"/>
            </w:pPr>
            <w:r>
              <w:rPr>
                <w:color w:val="333333"/>
                <w:sz w:val="20"/>
                <w:szCs w:val="20"/>
              </w:rPr>
              <w:t xml:space="preserve">Who clears fraud alerts, and how fast?</w:t>
            </w:r>
          </w:p>
        </w:tc>
        <w:tc>
          <w:tcPr>
            <w:tcW w:type="dxa" w:w="2000"/>
          </w:tcPr>
          <w:p>
            <w:pPr>
              <w:spacing w:after="40" w:before="40"/>
            </w:pPr>
            <w:r>
              <w:rPr>
                <w:color w:val="333333"/>
                <w:sz w:val="20"/>
                <w:szCs w:val="20"/>
              </w:rPr>
              <w:t xml:space="preserve"/>
            </w:r>
          </w:p>
        </w:tc>
        <w:tc>
          <w:tcPr>
            <w:tcW w:type="dxa" w:w="2100"/>
          </w:tcPr>
          <w:p>
            <w:pPr>
              <w:spacing w:after="40" w:before="40"/>
            </w:pPr>
            <w:r>
              <w:rPr>
                <w:color w:val="333333"/>
                <w:sz w:val="20"/>
                <w:szCs w:val="20"/>
              </w:rPr>
              <w:t xml:space="preserve"/>
            </w:r>
          </w:p>
        </w:tc>
      </w:tr>
      <w:tr>
        <w:tc>
          <w:tcPr>
            <w:tcW w:type="dxa" w:w="1100"/>
          </w:tcPr>
          <w:p>
            <w:pPr>
              <w:spacing w:after="40" w:before="40"/>
            </w:pPr>
            <w:r>
              <w:rPr>
                <w:color w:val="333333"/>
                <w:sz w:val="20"/>
                <w:szCs w:val="20"/>
              </w:rPr>
              <w:t xml:space="preserve">DEC-12</w:t>
            </w:r>
          </w:p>
        </w:tc>
        <w:tc>
          <w:tcPr>
            <w:tcW w:type="dxa" w:w="4300"/>
          </w:tcPr>
          <w:p>
            <w:pPr>
              <w:spacing w:after="40" w:before="40"/>
            </w:pPr>
            <w:r>
              <w:rPr>
                <w:color w:val="333333"/>
                <w:sz w:val="20"/>
                <w:szCs w:val="20"/>
              </w:rPr>
              <w:t xml:space="preserve">Excluded medicines list</w:t>
            </w:r>
          </w:p>
        </w:tc>
        <w:tc>
          <w:tcPr>
            <w:tcW w:type="dxa" w:w="2000"/>
          </w:tcPr>
          <w:p>
            <w:pPr>
              <w:spacing w:after="40" w:before="40"/>
            </w:pPr>
            <w:r>
              <w:rPr>
                <w:color w:val="333333"/>
                <w:sz w:val="20"/>
                <w:szCs w:val="20"/>
              </w:rPr>
              <w:t xml:space="preserve"/>
            </w:r>
          </w:p>
        </w:tc>
        <w:tc>
          <w:tcPr>
            <w:tcW w:type="dxa" w:w="2100"/>
          </w:tcPr>
          <w:p>
            <w:pPr>
              <w:spacing w:after="40" w:before="40"/>
            </w:pPr>
            <w:r>
              <w:rPr>
                <w:color w:val="333333"/>
                <w:sz w:val="20"/>
                <w:szCs w:val="20"/>
              </w:rPr>
              <w:t xml:space="preserve"/>
            </w:r>
          </w:p>
        </w:tc>
      </w:tr>
      <w:tr>
        <w:tc>
          <w:tcPr>
            <w:tcW w:type="dxa" w:w="1100"/>
          </w:tcPr>
          <w:p>
            <w:pPr>
              <w:spacing w:after="40" w:before="40"/>
            </w:pPr>
            <w:r>
              <w:rPr>
                <w:color w:val="333333"/>
                <w:sz w:val="20"/>
                <w:szCs w:val="20"/>
              </w:rPr>
              <w:t xml:space="preserve">DEC-13</w:t>
            </w:r>
          </w:p>
        </w:tc>
        <w:tc>
          <w:tcPr>
            <w:tcW w:type="dxa" w:w="4300"/>
          </w:tcPr>
          <w:p>
            <w:pPr>
              <w:spacing w:after="40" w:before="40"/>
            </w:pPr>
            <w:r>
              <w:rPr>
                <w:color w:val="333333"/>
                <w:sz w:val="20"/>
                <w:szCs w:val="20"/>
              </w:rPr>
              <w:t xml:space="preserve">Launch hospital and clinic network</w:t>
            </w:r>
          </w:p>
        </w:tc>
        <w:tc>
          <w:tcPr>
            <w:tcW w:type="dxa" w:w="2000"/>
          </w:tcPr>
          <w:p>
            <w:pPr>
              <w:spacing w:after="40" w:before="40"/>
            </w:pPr>
            <w:r>
              <w:rPr>
                <w:color w:val="333333"/>
                <w:sz w:val="20"/>
                <w:szCs w:val="20"/>
              </w:rPr>
              <w:t xml:space="preserve"/>
            </w:r>
          </w:p>
        </w:tc>
        <w:tc>
          <w:tcPr>
            <w:tcW w:type="dxa" w:w="2100"/>
          </w:tcPr>
          <w:p>
            <w:pPr>
              <w:spacing w:after="40" w:before="40"/>
            </w:pPr>
            <w:r>
              <w:rPr>
                <w:color w:val="333333"/>
                <w:sz w:val="20"/>
                <w:szCs w:val="20"/>
              </w:rPr>
              <w:t xml:space="preserve"/>
            </w:r>
          </w:p>
        </w:tc>
      </w:tr>
      <w:tr>
        <w:tc>
          <w:tcPr>
            <w:tcW w:type="dxa" w:w="1100"/>
          </w:tcPr>
          <w:p>
            <w:pPr>
              <w:spacing w:after="40" w:before="40"/>
            </w:pPr>
            <w:r>
              <w:rPr>
                <w:color w:val="333333"/>
                <w:sz w:val="20"/>
                <w:szCs w:val="20"/>
              </w:rPr>
              <w:t xml:space="preserve">DEC-15</w:t>
            </w:r>
          </w:p>
        </w:tc>
        <w:tc>
          <w:tcPr>
            <w:tcW w:type="dxa" w:w="4300"/>
          </w:tcPr>
          <w:p>
            <w:pPr>
              <w:spacing w:after="40" w:before="40"/>
            </w:pPr>
            <w:r>
              <w:rPr>
                <w:color w:val="333333"/>
                <w:sz w:val="20"/>
                <w:szCs w:val="20"/>
              </w:rPr>
              <w:t xml:space="preserve">The real NWSC member list</w:t>
            </w:r>
          </w:p>
        </w:tc>
        <w:tc>
          <w:tcPr>
            <w:tcW w:type="dxa" w:w="2000"/>
          </w:tcPr>
          <w:p>
            <w:pPr>
              <w:spacing w:after="40" w:before="40"/>
            </w:pPr>
            <w:r>
              <w:rPr>
                <w:color w:val="333333"/>
                <w:sz w:val="20"/>
                <w:szCs w:val="20"/>
              </w:rPr>
              <w:t xml:space="preserve"/>
            </w:r>
          </w:p>
        </w:tc>
        <w:tc>
          <w:tcPr>
            <w:tcW w:type="dxa" w:w="2100"/>
          </w:tcPr>
          <w:p>
            <w:pPr>
              <w:spacing w:after="40" w:before="40"/>
            </w:pPr>
            <w:r>
              <w:rPr>
                <w:color w:val="333333"/>
                <w:sz w:val="20"/>
                <w:szCs w:val="20"/>
              </w:rPr>
              <w:t xml:space="preserve"/>
            </w:r>
          </w:p>
        </w:tc>
      </w:tr>
      <w:tr>
        <w:tc>
          <w:tcPr>
            <w:tcW w:type="dxa" w:w="1100"/>
          </w:tcPr>
          <w:p>
            <w:pPr>
              <w:spacing w:after="40" w:before="40"/>
            </w:pPr>
            <w:r>
              <w:rPr>
                <w:color w:val="333333"/>
                <w:sz w:val="20"/>
                <w:szCs w:val="20"/>
              </w:rPr>
              <w:t xml:space="preserve">DEC-16</w:t>
            </w:r>
          </w:p>
        </w:tc>
        <w:tc>
          <w:tcPr>
            <w:tcW w:type="dxa" w:w="4300"/>
          </w:tcPr>
          <w:p>
            <w:pPr>
              <w:spacing w:after="40" w:before="40"/>
            </w:pPr>
            <w:r>
              <w:rPr>
                <w:color w:val="333333"/>
                <w:sz w:val="20"/>
                <w:szCs w:val="20"/>
              </w:rPr>
              <w:t xml:space="preserve">Opening fund balance</w:t>
            </w:r>
          </w:p>
        </w:tc>
        <w:tc>
          <w:tcPr>
            <w:tcW w:type="dxa" w:w="2000"/>
          </w:tcPr>
          <w:p>
            <w:pPr>
              <w:spacing w:after="40" w:before="40"/>
            </w:pPr>
            <w:r>
              <w:rPr>
                <w:color w:val="333333"/>
                <w:sz w:val="20"/>
                <w:szCs w:val="20"/>
              </w:rPr>
              <w:t xml:space="preserve"/>
            </w:r>
          </w:p>
        </w:tc>
        <w:tc>
          <w:tcPr>
            <w:tcW w:type="dxa" w:w="2100"/>
          </w:tcPr>
          <w:p>
            <w:pPr>
              <w:spacing w:after="40" w:before="40"/>
            </w:pPr>
            <w:r>
              <w:rPr>
                <w:color w:val="333333"/>
                <w:sz w:val="20"/>
                <w:szCs w:val="20"/>
              </w:rPr>
              <w:t xml:space="preserve"/>
            </w:r>
          </w:p>
        </w:tc>
      </w:tr>
      <w:tr>
        <w:tc>
          <w:tcPr>
            <w:tcW w:type="dxa" w:w="1100"/>
          </w:tcPr>
          <w:p>
            <w:pPr>
              <w:spacing w:after="40" w:before="40"/>
            </w:pPr>
            <w:r>
              <w:rPr>
                <w:color w:val="333333"/>
                <w:sz w:val="20"/>
                <w:szCs w:val="20"/>
              </w:rPr>
              <w:t xml:space="preserve">DEC-17</w:t>
            </w:r>
          </w:p>
        </w:tc>
        <w:tc>
          <w:tcPr>
            <w:tcW w:type="dxa" w:w="4300"/>
          </w:tcPr>
          <w:p>
            <w:pPr>
              <w:spacing w:after="40" w:before="40"/>
            </w:pPr>
            <w:r>
              <w:rPr>
                <w:color w:val="333333"/>
                <w:sz w:val="20"/>
                <w:szCs w:val="20"/>
              </w:rPr>
              <w:t xml:space="preserve">Data protection pack (Uganda DPPA)</w:t>
            </w:r>
          </w:p>
        </w:tc>
        <w:tc>
          <w:tcPr>
            <w:tcW w:type="dxa" w:w="2000"/>
          </w:tcPr>
          <w:p>
            <w:pPr>
              <w:spacing w:after="40" w:before="40"/>
            </w:pPr>
            <w:r>
              <w:rPr>
                <w:color w:val="333333"/>
                <w:sz w:val="20"/>
                <w:szCs w:val="20"/>
              </w:rPr>
              <w:t xml:space="preserve"/>
            </w:r>
          </w:p>
        </w:tc>
        <w:tc>
          <w:tcPr>
            <w:tcW w:type="dxa" w:w="2100"/>
          </w:tcPr>
          <w:p>
            <w:pPr>
              <w:spacing w:after="40" w:before="40"/>
            </w:pPr>
            <w:r>
              <w:rPr>
                <w:color w:val="333333"/>
                <w:sz w:val="20"/>
                <w:szCs w:val="20"/>
              </w:rPr>
              <w:t xml:space="preserve"/>
            </w:r>
          </w:p>
        </w:tc>
      </w:tr>
      <w:tr>
        <w:tc>
          <w:tcPr>
            <w:tcW w:type="dxa" w:w="1100"/>
          </w:tcPr>
          <w:p>
            <w:pPr>
              <w:spacing w:after="40" w:before="40"/>
            </w:pPr>
            <w:r>
              <w:rPr>
                <w:color w:val="333333"/>
                <w:sz w:val="20"/>
                <w:szCs w:val="20"/>
              </w:rPr>
              <w:t xml:space="preserve">DEC-18</w:t>
            </w:r>
          </w:p>
        </w:tc>
        <w:tc>
          <w:tcPr>
            <w:tcW w:type="dxa" w:w="4300"/>
          </w:tcPr>
          <w:p>
            <w:pPr>
              <w:spacing w:after="40" w:before="40"/>
            </w:pPr>
            <w:r>
              <w:rPr>
                <w:color w:val="333333"/>
                <w:sz w:val="20"/>
                <w:szCs w:val="20"/>
              </w:rPr>
              <w:t xml:space="preserve">Web address and email identity</w:t>
            </w:r>
          </w:p>
        </w:tc>
        <w:tc>
          <w:tcPr>
            <w:tcW w:type="dxa" w:w="2000"/>
          </w:tcPr>
          <w:p>
            <w:pPr>
              <w:spacing w:after="40" w:before="40"/>
            </w:pPr>
            <w:r>
              <w:rPr>
                <w:color w:val="333333"/>
                <w:sz w:val="20"/>
                <w:szCs w:val="20"/>
              </w:rPr>
              <w:t xml:space="preserve"/>
            </w:r>
          </w:p>
        </w:tc>
        <w:tc>
          <w:tcPr>
            <w:tcW w:type="dxa" w:w="2100"/>
          </w:tcPr>
          <w:p>
            <w:pPr>
              <w:spacing w:after="40" w:before="40"/>
            </w:pPr>
            <w:r>
              <w:rPr>
                <w:color w:val="333333"/>
                <w:sz w:val="20"/>
                <w:szCs w:val="20"/>
              </w:rPr>
              <w:t xml:space="preserve"/>
            </w:r>
          </w:p>
        </w:tc>
      </w:tr>
      <w:tr>
        <w:tc>
          <w:tcPr>
            <w:tcW w:type="dxa" w:w="1100"/>
          </w:tcPr>
          <w:p>
            <w:pPr>
              <w:spacing w:after="40" w:before="40"/>
            </w:pPr>
            <w:r>
              <w:rPr>
                <w:color w:val="333333"/>
                <w:sz w:val="20"/>
                <w:szCs w:val="20"/>
              </w:rPr>
              <w:t xml:space="preserve">DEC-22</w:t>
            </w:r>
          </w:p>
        </w:tc>
        <w:tc>
          <w:tcPr>
            <w:tcW w:type="dxa" w:w="4300"/>
          </w:tcPr>
          <w:p>
            <w:pPr>
              <w:spacing w:after="40" w:before="40"/>
            </w:pPr>
            <w:r>
              <w:rPr>
                <w:color w:val="333333"/>
                <w:sz w:val="20"/>
                <w:szCs w:val="20"/>
              </w:rPr>
              <w:t xml:space="preserve">Launch governance</w:t>
            </w:r>
          </w:p>
        </w:tc>
        <w:tc>
          <w:tcPr>
            <w:tcW w:type="dxa" w:w="2000"/>
          </w:tcPr>
          <w:p>
            <w:pPr>
              <w:spacing w:after="40" w:before="40"/>
            </w:pPr>
            <w:r>
              <w:rPr>
                <w:color w:val="333333"/>
                <w:sz w:val="20"/>
                <w:szCs w:val="20"/>
              </w:rPr>
              <w:t xml:space="preserve"/>
            </w:r>
          </w:p>
        </w:tc>
        <w:tc>
          <w:tcPr>
            <w:tcW w:type="dxa" w:w="2100"/>
          </w:tcPr>
          <w:p>
            <w:pPr>
              <w:spacing w:after="40" w:before="40"/>
            </w:pPr>
            <w:r>
              <w:rPr>
                <w:color w:val="333333"/>
                <w:sz w:val="20"/>
                <w:szCs w:val="20"/>
              </w:rPr>
              <w:t xml:space="preserve"/>
            </w:r>
          </w:p>
        </w:tc>
      </w:tr>
      <w:tr>
        <w:tc>
          <w:tcPr>
            <w:tcW w:type="dxa" w:w="1100"/>
          </w:tcPr>
          <w:p>
            <w:pPr>
              <w:spacing w:after="40" w:before="40"/>
            </w:pPr>
            <w:r>
              <w:rPr>
                <w:color w:val="333333"/>
                <w:sz w:val="20"/>
                <w:szCs w:val="20"/>
              </w:rPr>
              <w:t xml:space="preserve">DEC-25</w:t>
            </w:r>
          </w:p>
        </w:tc>
        <w:tc>
          <w:tcPr>
            <w:tcW w:type="dxa" w:w="4300"/>
          </w:tcPr>
          <w:p>
            <w:pPr>
              <w:spacing w:after="40" w:before="40"/>
            </w:pPr>
            <w:r>
              <w:rPr>
                <w:color w:val="333333"/>
                <w:sz w:val="20"/>
                <w:szCs w:val="20"/>
              </w:rPr>
              <w:t xml:space="preserve">How members hear from us</w:t>
            </w:r>
          </w:p>
        </w:tc>
        <w:tc>
          <w:tcPr>
            <w:tcW w:type="dxa" w:w="2000"/>
          </w:tcPr>
          <w:p>
            <w:pPr>
              <w:spacing w:after="40" w:before="40"/>
            </w:pPr>
            <w:r>
              <w:rPr>
                <w:color w:val="333333"/>
                <w:sz w:val="20"/>
                <w:szCs w:val="20"/>
              </w:rPr>
              <w:t xml:space="preserve"/>
            </w:r>
          </w:p>
        </w:tc>
        <w:tc>
          <w:tcPr>
            <w:tcW w:type="dxa" w:w="2100"/>
          </w:tcPr>
          <w:p>
            <w:pPr>
              <w:spacing w:after="40" w:before="40"/>
            </w:pPr>
            <w:r>
              <w:rPr>
                <w:color w:val="333333"/>
                <w:sz w:val="20"/>
                <w:szCs w:val="20"/>
              </w:rPr>
              <w:t xml:space="preserve"/>
            </w:r>
          </w:p>
        </w:tc>
      </w:tr>
      <w:tr>
        <w:tc>
          <w:tcPr>
            <w:tcW w:type="dxa" w:w="1100"/>
          </w:tcPr>
          <w:p>
            <w:pPr>
              <w:spacing w:after="40" w:before="40"/>
            </w:pPr>
            <w:r>
              <w:rPr>
                <w:color w:val="333333"/>
                <w:sz w:val="20"/>
                <w:szCs w:val="20"/>
              </w:rPr>
              <w:t xml:space="preserve">DEC-26</w:t>
            </w:r>
          </w:p>
        </w:tc>
        <w:tc>
          <w:tcPr>
            <w:tcW w:type="dxa" w:w="4300"/>
          </w:tcPr>
          <w:p>
            <w:pPr>
              <w:spacing w:after="40" w:before="40"/>
            </w:pPr>
            <w:r>
              <w:rPr>
                <w:color w:val="333333"/>
                <w:sz w:val="20"/>
                <w:szCs w:val="20"/>
              </w:rPr>
              <w:t xml:space="preserve">Uganda statutory levies</w:t>
            </w:r>
          </w:p>
        </w:tc>
        <w:tc>
          <w:tcPr>
            <w:tcW w:type="dxa" w:w="2000"/>
          </w:tcPr>
          <w:p>
            <w:pPr>
              <w:spacing w:after="40" w:before="40"/>
            </w:pPr>
            <w:r>
              <w:rPr>
                <w:color w:val="333333"/>
                <w:sz w:val="20"/>
                <w:szCs w:val="20"/>
              </w:rPr>
              <w:t xml:space="preserve"/>
            </w:r>
          </w:p>
        </w:tc>
        <w:tc>
          <w:tcPr>
            <w:tcW w:type="dxa" w:w="2100"/>
          </w:tcPr>
          <w:p>
            <w:pPr>
              <w:spacing w:after="40" w:before="40"/>
            </w:pPr>
            <w:r>
              <w:rPr>
                <w:color w:val="333333"/>
                <w:sz w:val="20"/>
                <w:szCs w:val="20"/>
              </w:rPr>
              <w:t xml:space="preserve"/>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2026-07-16T09:50:45.880Z</dcterms:created>
  <dcterms:modified xsi:type="dcterms:W3CDTF">2026-07-16T09:50:45.880Z</dcterms:modified>
</cp:coreProperties>
</file>

<file path=docProps/custom.xml><?xml version="1.0" encoding="utf-8"?>
<Properties xmlns="http://schemas.openxmlformats.org/officeDocument/2006/custom-properties" xmlns:vt="http://schemas.openxmlformats.org/officeDocument/2006/docPropsVTypes"/>
</file>