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11c3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9ecc6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3cefff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dc9a137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aebf68a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d1ecdf4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a0d6ac0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2635453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e5f8fe0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36952e7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74759f4f"/>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200df4a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b92c54d6"/>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bca2208e"/>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450ac55b"/>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5aa6c62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e6b32337"/>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30bf31d5"/>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8226547d"/>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5105aa76"/>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82d53329"/>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f2893676"/>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146f23d5"/>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ce80ae93"/>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4e88917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5ccdc7a3"/>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411bd2b7"/>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19bef160"/>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1e73ca86"/>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10676e97"/>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84cfc83e"/>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feffa65f"/>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31b35268"/>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12e03b82"/>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c0a3c601"/>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ae52f19a"/>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79f3310e"/>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30944761"/>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