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22,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2012).[^1] 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4"/>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5" w:name="conventional-storyline-from-shock-therapy-to-statist-welfare"/>
    <w:p>
      <w:pPr>
        <w:pStyle w:val="Heading1"/>
      </w:pPr>
      <w:r>
        <w:t xml:space="preserve">"Conventional storyline": from shock therapy to statist welfare</w:t>
      </w:r>
    </w:p>
    <w:bookmarkEnd w:id="25"/>
    <w:bookmarkStart w:id="26" w:name="post-socialist-liberalization"/>
    <w:p>
      <w:pPr>
        <w:pStyle w:val="Heading2"/>
      </w:pPr>
      <w:r>
        <w:t xml:space="preserve">Post-socialist liberalization</w:t>
      </w:r>
    </w:p>
    <w:bookmarkEnd w:id="26"/>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27" w:name="russia-oil-led-welfare-miracle"/>
    <w:p>
      <w:pPr>
        <w:pStyle w:val="Heading2"/>
      </w:pPr>
      <w:r>
        <w:t xml:space="preserve">Russia oil-led welfare miracle</w:t>
      </w:r>
    </w:p>
    <w:bookmarkEnd w:id="27"/>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 [^1].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citizens[^2].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2008.[^3] 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28" w:name="increasing-neo-liberalism-in-the-2000s"/>
    <w:p>
      <w:pPr>
        <w:pStyle w:val="Heading2"/>
      </w:pPr>
      <w:r>
        <w:t xml:space="preserve">Increasing neo-liberalism in the 2000s’</w:t>
      </w:r>
    </w:p>
    <w:bookmarkEnd w:id="28"/>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288).[^4]</w:t>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well.[^5] 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context.[^6]</w:t>
      </w:r>
    </w:p>
    <w:bookmarkStart w:id="29" w:name="challenging-the-conventional-stories"/>
    <w:p>
      <w:pPr>
        <w:pStyle w:val="Heading1"/>
      </w:pPr>
      <w:r>
        <w:t xml:space="preserve">Challenging the conventional stories</w:t>
      </w:r>
    </w:p>
    <w:bookmarkEnd w:id="29"/>
    <w:bookmarkStart w:id="30" w:name="no-political-will"/>
    <w:p>
      <w:pPr>
        <w:pStyle w:val="Heading2"/>
      </w:pPr>
      <w:r>
        <w:t xml:space="preserve">No political will</w:t>
      </w:r>
    </w:p>
    <w:bookmarkEnd w:id="30"/>
    <w:p>
      <w:r>
        <w:t xml:space="preserve">Even without these cuts, while welfare funding has increased rapidly in real terms since the early 2000s, federal social outlays overall have not increased more rapidly, perhaps even declining, relative to the other outlays.[^7] The Russian miracle in social policy is overstatement, since the political will can hardly been seen in outlays in their relative numbers (Kivinen, forthcoming).</w:t>
      </w:r>
    </w:p>
    <w:bookmarkStart w:id="31" w:name="selected-priorities"/>
    <w:p>
      <w:pPr>
        <w:pStyle w:val="Heading2"/>
      </w:pPr>
      <w:r>
        <w:t xml:space="preserve">Selected priorities</w:t>
      </w:r>
    </w:p>
    <w:bookmarkEnd w:id="31"/>
    <w:p>
      <w:r>
        <w:t xml:space="preserve">Instead, state policies have been family centered and pronatalist, reinscribing maternal roles for women (Cook 2011; Rivkin-Fish 2010).[^8] 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32" w:name="no-politics-in-welfare"/>
    <w:p>
      <w:pPr>
        <w:pStyle w:val="Heading2"/>
      </w:pPr>
      <w:r>
        <w:t xml:space="preserve">No politics in welfare</w:t>
      </w:r>
    </w:p>
    <w:bookmarkEnd w:id="32"/>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33" w:name="citizens-expectations"/>
    <w:p>
      <w:pPr>
        <w:pStyle w:val="Heading3"/>
      </w:pPr>
      <w:r>
        <w:t xml:space="preserve">Citizens expectations</w:t>
      </w:r>
    </w:p>
    <w:bookmarkEnd w:id="33"/>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2013).[^9]</w:t>
      </w:r>
    </w:p>
    <w:bookmarkStart w:id="34" w:name="federalism-regional-variation"/>
    <w:p>
      <w:pPr>
        <w:pStyle w:val="Heading2"/>
      </w:pPr>
      <w:r>
        <w:t xml:space="preserve">Federalism: regional variation</w:t>
      </w:r>
    </w:p>
    <w:bookmarkEnd w:id="34"/>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bookmarkStart w:id="35" w:name="disparity-between-the-federal-policies-and-local-circumstances"/>
    <w:p>
      <w:pPr>
        <w:pStyle w:val="Heading3"/>
      </w:pPr>
      <w:r>
        <w:t xml:space="preserve">Disparity between the federal policies and local circumstances</w:t>
      </w:r>
    </w:p>
    <w:bookmarkEnd w:id="35"/>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36" w:name="discussion"/>
    <w:p>
      <w:pPr>
        <w:pStyle w:val="Heading1"/>
      </w:pPr>
      <w:r>
        <w:t xml:space="preserve">Discussion</w:t>
      </w:r>
    </w:p>
    <w:bookmarkEnd w:id="36"/>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37" w:name="references"/>
    <w:p>
      <w:pPr>
        <w:pStyle w:val="Heading1"/>
      </w:pPr>
      <w:r>
        <w:t xml:space="preserve">References</w:t>
      </w:r>
    </w:p>
    <w:bookmarkEnd w:id="37"/>
    <w:p>
      <w:r>
        <w:t xml:space="preserve">[^1] Russia had one of the most severe contraction among G20 countries in 2009 (Sutela 2012). However, the Russian economy has been recovering from the crisis rapidly and Russia’s fiscal situation is still among the best of the world (Kivinen, forthcoming). [^1]: According to Cerami (2009), it was under the executive of Medvedev when social interests became a priority for the first time, by combining strong liberalization efforts with social awareness (also Sutela 2012, 199). [^2]: In the beginning of 2014, a Stabilization Fund was established to balance the federal budget in a case of cut-off in oil prices. The stabilization fund grew from 18.9 billion $ of 2004 to 156.8 billion $ in 2007 (Cerami 2009, 112). [^3]: Since 2005, year 2010 presents the highest share of social expenditure of the national GDP (Korhonen 2013). [^4]: 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 [^5]: For instance, the outsourcing mechanism provided by state contract preserves 15% of the whole amount of money for NGOs and small business. (Kulmala &amp; Tarasenko 2014). [^6]: 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 [^7]: 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 [^8]: The only possible gender-equality promoting reform is a 2003 law criminalizing the trafficking in persons, passed early in Putin’s reign, under threat of U.S. sanctions, but this too was framed as one of protecting women much more than assuring women’s rights (Johnson 2009; 2013). [^9]: 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14d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8c0d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dcterms:created xsi:type="dcterms:W3CDTF">2014-03-22</dcterms:created>
  <dcterms:modified xsi:type="dcterms:W3CDTF">2014-03-22</dcterms:modified>
</cp:coreProperties>
</file>