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29,</w:t>
      </w:r>
      <w:r>
        <w:t xml:space="preserve"> </w:t>
      </w:r>
      <w:r>
        <w:t xml:space="preserve">2014</w:t>
      </w:r>
    </w:p>
    <w:p/>
    <w:p/>
    <w:p/>
    <w:p/>
    <w:p/>
    <w:p/>
    <w:p>
      <w:r>
        <w:rPr>
          <w:b/>
        </w:rPr>
        <w:t xml:space="preserve">Abstract</w:t>
      </w:r>
      <w:r>
        <w:t xml:space="preserve">:</w:t>
      </w:r>
      <w:r>
        <w:t xml:space="preserve"> </w:t>
      </w:r>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p>
    <w:p/>
    <w:p/>
    <w:p>
      <w:r>
        <w:t xml:space="preserve"> </w:t>
      </w:r>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6489700" cy="7213600"/>
            <wp:effectExtent b="0" l="0" r="0" t="0"/>
            <wp:docPr descr="" id="1" name="Picture"/>
            <a:graphic>
              <a:graphicData uri="http://schemas.openxmlformats.org/drawingml/2006/picture">
                <pic:pic>
                  <pic:nvPicPr>
                    <pic:cNvPr descr="figure/macroplot0.png" id="0" name="Picture"/>
                    <pic:cNvPicPr>
                      <a:picLocks noChangeArrowheads="1" noChangeAspect="1"/>
                    </pic:cNvPicPr>
                  </pic:nvPicPr>
                  <pic:blipFill>
                    <a:blip r:embed="rId23"/>
                    <a:stretch>
                      <a:fillRect/>
                    </a:stretch>
                  </pic:blipFill>
                  <pic:spPr bwMode="auto">
                    <a:xfrm>
                      <a:off x="0" y="0"/>
                      <a:ext cx="6489700" cy="7213600"/>
                    </a:xfrm>
                    <a:prstGeom prst="rect">
                      <a:avLst/>
                    </a:prstGeom>
                    <a:noFill/>
                    <a:ln w="9525">
                      <a:noFill/>
                      <a:headEnd/>
                      <a:tailEnd/>
                    </a:ln>
                  </pic:spPr>
                </pic:pic>
              </a:graphicData>
            </a:graphic>
          </wp:inline>
        </w:drawing>
      </w:r>
    </w:p>
    <w:p>
      <w:pPr>
        <w:pStyle w:val="ImageCaption"/>
      </w:pPr>
      <w:r>
        <w:t xml:space="preserve">Human deveplopment index and GDP per capita</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
      </w:r>
    </w:p>
    <w:bookmarkStart w:id="28" w:name="challenging-the-conventional-stories"/>
    <w:p>
      <w:pPr>
        <w:pStyle w:val="Heading1"/>
      </w:pPr>
      <w:r>
        <w:t xml:space="preserve">Challenging the conventional stories</w:t>
      </w:r>
    </w:p>
    <w:bookmarkEnd w:id="28"/>
    <w:bookmarkStart w:id="29" w:name="no-political-will"/>
    <w:p>
      <w:pPr>
        <w:pStyle w:val="Heading2"/>
      </w:pPr>
      <w:r>
        <w:t xml:space="preserve">No political will</w:t>
      </w:r>
    </w:p>
    <w:bookmarkEnd w:id="29"/>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Source: De Silva et al. (2009)."/>
      </w:tblPr>
      <w:tblGrid>
        <w:gridCol w:w="1760"/>
        <w:gridCol w:w="1100"/>
        <w:gridCol w:w="1100"/>
        <w:gridCol w:w="550"/>
      </w:tblGrid>
      <w:tr>
        <w:tc>
          <w:tcPr>
            <w:tcBorders>
              <w:bottom w:val="single"/>
            </w:tcBorders>
            <w:vAlign w:val="bottom"/>
          </w:tcPr>
          <w:p/>
        </w:tc>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r>
        <w:t xml:space="preserve"> </w:t>
      </w:r>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4330700" cy="5054600"/>
            <wp:effectExtent b="0" l="0" r="0" t="0"/>
            <wp:docPr descr="" id="1" name="Picture"/>
            <a:graphic>
              <a:graphicData uri="http://schemas.openxmlformats.org/drawingml/2006/picture">
                <pic:pic>
                  <pic:nvPicPr>
                    <pic:cNvPr descr="figure/macroplot2.png" id="0" name="Picture"/>
                    <pic:cNvPicPr>
                      <a:picLocks noChangeArrowheads="1" noChangeAspect="1"/>
                    </pic:cNvPicPr>
                  </pic:nvPicPr>
                  <pic:blipFill>
                    <a:blip r:embed="rId30"/>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1992–2012</w:t>
      </w:r>
      <w:r>
        <w:t xml:space="preserve"> </w:t>
      </w:r>
      <w:r>
        <w:rPr>
          <w:i/>
        </w:rPr>
        <w:t xml:space="preserve">Source: Rosstat 2013</w:t>
      </w:r>
    </w:p>
    <w:p>
      <w:r>
        <w:drawing>
          <wp:inline>
            <wp:extent cx="4330700" cy="5054600"/>
            <wp:effectExtent b="0" l="0" r="0" t="0"/>
            <wp:docPr descr="" id="1" name="Picture"/>
            <a:graphic>
              <a:graphicData uri="http://schemas.openxmlformats.org/drawingml/2006/picture">
                <pic:pic>
                  <pic:nvPicPr>
                    <pic:cNvPr descr="figure/macroplot1.png" id="0" name="Picture"/>
                    <pic:cNvPicPr>
                      <a:picLocks noChangeArrowheads="1" noChangeAspect="1"/>
                    </pic:cNvPicPr>
                  </pic:nvPicPr>
                  <pic:blipFill>
                    <a:blip r:embed="rId31"/>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r>
        <w:t xml:space="preserve"> </w:t>
      </w:r>
      <w:r>
        <w:rPr>
          <w:i/>
        </w:rPr>
        <w:t xml:space="preserve">Source: Rosstat 2013</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2"/>
      </w:r>
      <w:r>
        <w:t xml:space="preserve"> </w:t>
      </w:r>
      <w:r>
        <w:t xml:space="preserve">The Russian miracle in social policy is overstatement, since the political will can hardly been seen in outlays in their relative numbers (Kivinen, forthcoming).))</w:t>
      </w:r>
    </w:p>
    <w:bookmarkStart w:id="33" w:name="selected-priorities"/>
    <w:p>
      <w:pPr>
        <w:pStyle w:val="Heading2"/>
      </w:pPr>
      <w:r>
        <w:t xml:space="preserve">Selected priorities</w:t>
      </w:r>
    </w:p>
    <w:bookmarkEnd w:id="33"/>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w:t>
      </w:r>
      <w:r>
        <w:rPr>
          <w:rStyle w:val="FootnoteRef"/>
        </w:rPr>
        <w:footnoteReference w:id="34"/>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w:t>
      </w:r>
    </w:p>
    <w:p>
      <w:r>
        <w:t xml:space="preserve">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 239, 244)</w:t>
      </w:r>
    </w:p>
    <w:p>
      <w:r>
        <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w:t>
      </w:r>
    </w:p>
    <w:p>
      <w:r>
        <w:t xml:space="preserve">??? MINNE: Yet, alongside the increases in maternity and family benefits --- eläkkeitä ja julkisen sektorin palkkoja on nostettu!!</w:t>
      </w:r>
    </w:p>
    <w:bookmarkStart w:id="37" w:name="no-politics-in-welfare"/>
    <w:p>
      <w:pPr>
        <w:pStyle w:val="Heading2"/>
      </w:pPr>
      <w:r>
        <w:t xml:space="preserve">No politics in welfare</w:t>
      </w:r>
    </w:p>
    <w:bookmarkEnd w:id="37"/>
    <w:bookmarkStart w:id="38" w:name="the-yeltsin-reforms"/>
    <w:p>
      <w:pPr>
        <w:pStyle w:val="Heading3"/>
      </w:pPr>
      <w:r>
        <w:t xml:space="preserve">The Yeltsin reforms</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(2012,240),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(2012, 241)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 ea 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(2012,12).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(2012, 270)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3"/>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levels.(Maltseva 2012, 336) The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(Maltseva 2012, 286-288)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 (Maltseva 2012, 292)</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 (2012, 238)</w:t>
      </w:r>
    </w:p>
    <w:bookmarkStart w:id="40" w:name="no-organized-interest-representation"/>
    <w:p>
      <w:pPr>
        <w:pStyle w:val="Heading2"/>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tbl>
      <w:tblPr>
        <w:tblStyle w:val="TableNormal"/>
        <w:tblCaption w:val="caption here Source: Levada Center 2014"/>
      </w:tblPr>
      <w:tblGrid>
        <w:gridCol w:w="2053"/>
        <w:gridCol w:w="586"/>
        <w:gridCol w:w="586"/>
        <w:gridCol w:w="586"/>
        <w:gridCol w:w="586"/>
        <w:gridCol w:w="586"/>
        <w:gridCol w:w="586"/>
        <w:gridCol w:w="586"/>
        <w:gridCol w:w="586"/>
        <w:gridCol w:w="586"/>
        <w:gridCol w:w="586"/>
      </w:tblGrid>
      <w:tr>
        <w:tc>
          <w:tcPr>
            <w:tcBorders>
              <w:bottom w:val="single"/>
            </w:tcBorders>
            <w:vAlign w:val="bottom"/>
          </w:tcPr>
          <w:p/>
        </w:tc>
        <w:tc>
          <w:tcPr>
            <w:tcBorders>
              <w:bottom w:val="single"/>
            </w:tcBorders>
            <w:vAlign w:val="bottom"/>
          </w:tcPr>
          <w:p>
            <w:pPr>
              <w:pStyle w:val="Compact"/>
              <w:jc w:val="left"/>
            </w:pPr>
            <w:r>
              <w:t xml:space="preserve">2003 VIII</w:t>
            </w:r>
          </w:p>
        </w:tc>
        <w:tc>
          <w:tcPr>
            <w:tcBorders>
              <w:bottom w:val="single"/>
            </w:tcBorders>
            <w:vAlign w:val="bottom"/>
          </w:tcPr>
          <w:p>
            <w:pPr>
              <w:pStyle w:val="Compact"/>
              <w:jc w:val="left"/>
            </w:pPr>
            <w:r>
              <w:t xml:space="preserve">2004 VIII</w:t>
            </w:r>
          </w:p>
        </w:tc>
        <w:tc>
          <w:tcPr>
            <w:tcBorders>
              <w:bottom w:val="single"/>
            </w:tcBorders>
            <w:vAlign w:val="bottom"/>
          </w:tcPr>
          <w:p>
            <w:pPr>
              <w:pStyle w:val="Compact"/>
              <w:jc w:val="left"/>
            </w:pPr>
            <w:r>
              <w:t xml:space="preserve">2005 VIII</w:t>
            </w:r>
          </w:p>
        </w:tc>
        <w:tc>
          <w:tcPr>
            <w:tcBorders>
              <w:bottom w:val="single"/>
            </w:tcBorders>
            <w:vAlign w:val="bottom"/>
          </w:tcPr>
          <w:p>
            <w:pPr>
              <w:pStyle w:val="Compact"/>
              <w:jc w:val="left"/>
            </w:pPr>
            <w:r>
              <w:t xml:space="preserve">2006 VIII</w:t>
            </w:r>
          </w:p>
        </w:tc>
        <w:tc>
          <w:tcPr>
            <w:tcBorders>
              <w:bottom w:val="single"/>
            </w:tcBorders>
            <w:vAlign w:val="bottom"/>
          </w:tcPr>
          <w:p>
            <w:pPr>
              <w:pStyle w:val="Compact"/>
              <w:jc w:val="left"/>
            </w:pPr>
            <w:r>
              <w:t xml:space="preserve">2007 VIII</w:t>
            </w:r>
          </w:p>
        </w:tc>
        <w:tc>
          <w:tcPr>
            <w:tcBorders>
              <w:bottom w:val="single"/>
            </w:tcBorders>
            <w:vAlign w:val="bottom"/>
          </w:tcPr>
          <w:p>
            <w:pPr>
              <w:pStyle w:val="Compact"/>
              <w:jc w:val="left"/>
            </w:pPr>
            <w:r>
              <w:t xml:space="preserve">2008 VIII</w:t>
            </w:r>
          </w:p>
        </w:tc>
        <w:tc>
          <w:tcPr>
            <w:tcBorders>
              <w:bottom w:val="single"/>
            </w:tcBorders>
            <w:vAlign w:val="bottom"/>
          </w:tcPr>
          <w:p>
            <w:pPr>
              <w:pStyle w:val="Compact"/>
              <w:jc w:val="left"/>
            </w:pPr>
            <w:r>
              <w:t xml:space="preserve">2009 VIII</w:t>
            </w:r>
          </w:p>
        </w:tc>
        <w:tc>
          <w:tcPr>
            <w:tcBorders>
              <w:bottom w:val="single"/>
            </w:tcBorders>
            <w:vAlign w:val="bottom"/>
          </w:tcPr>
          <w:p>
            <w:pPr>
              <w:pStyle w:val="Compact"/>
              <w:jc w:val="left"/>
            </w:pPr>
            <w:r>
              <w:t xml:space="preserve">2010 VIII</w:t>
            </w:r>
          </w:p>
        </w:tc>
        <w:tc>
          <w:tcPr>
            <w:tcBorders>
              <w:bottom w:val="single"/>
            </w:tcBorders>
            <w:vAlign w:val="bottom"/>
          </w:tcPr>
          <w:p>
            <w:pPr>
              <w:pStyle w:val="Compact"/>
              <w:jc w:val="left"/>
            </w:pPr>
            <w:r>
              <w:t xml:space="preserve">2011 VIII</w:t>
            </w:r>
          </w:p>
        </w:tc>
        <w:tc>
          <w:tcPr>
            <w:tcBorders>
              <w:bottom w:val="single"/>
            </w:tcBorders>
            <w:vAlign w:val="bottom"/>
          </w:tcPr>
          <w:p>
            <w:pPr>
              <w:pStyle w:val="Compact"/>
              <w:jc w:val="left"/>
            </w:pPr>
            <w:r>
              <w:t xml:space="preserve">2012 IX</w:t>
            </w:r>
          </w:p>
        </w:tc>
      </w:tr>
      <w:tr>
        <w:tc>
          <w:p>
            <w:pPr>
              <w:pStyle w:val="Compact"/>
              <w:jc w:val="left"/>
            </w:pPr>
            <w:r>
              <w:t xml:space="preserve">Definitely yes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Yes, rather than no</w:t>
            </w:r>
          </w:p>
        </w:tc>
        <w:tc>
          <w:p>
            <w:pPr>
              <w:pStyle w:val="Compact"/>
              <w:jc w:val="left"/>
            </w:pPr>
            <w:r>
              <w:t xml:space="preserve">9</w:t>
            </w:r>
          </w:p>
        </w:tc>
        <w:tc>
          <w:p>
            <w:pPr>
              <w:pStyle w:val="Compact"/>
              <w:jc w:val="left"/>
            </w:pPr>
            <w:r>
              <w:t xml:space="preserve">11</w:t>
            </w:r>
          </w:p>
        </w:tc>
        <w:tc>
          <w:p>
            <w:pPr>
              <w:pStyle w:val="Compact"/>
              <w:jc w:val="left"/>
            </w:pPr>
            <w:r>
              <w:t xml:space="preserve">9</w:t>
            </w:r>
          </w:p>
        </w:tc>
        <w:tc>
          <w:p>
            <w:pPr>
              <w:pStyle w:val="Compact"/>
              <w:jc w:val="left"/>
            </w:pPr>
            <w:r>
              <w:t xml:space="preserve">10</w:t>
            </w:r>
          </w:p>
        </w:tc>
        <w:tc>
          <w:p>
            <w:pPr>
              <w:pStyle w:val="Compact"/>
              <w:jc w:val="left"/>
            </w:pPr>
            <w:r>
              <w:t xml:space="preserve">14</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14</w:t>
            </w:r>
          </w:p>
        </w:tc>
        <w:tc>
          <w:p>
            <w:pPr>
              <w:pStyle w:val="Compact"/>
              <w:jc w:val="left"/>
            </w:pPr>
            <w:r>
              <w:t xml:space="preserve">15</w:t>
            </w:r>
          </w:p>
        </w:tc>
      </w:tr>
      <w:tr>
        <w:tc>
          <w:p>
            <w:pPr>
              <w:pStyle w:val="Compact"/>
              <w:jc w:val="left"/>
            </w:pPr>
            <w:r>
              <w:t xml:space="preserve">Neither yes, nor no</w:t>
            </w:r>
          </w:p>
        </w:tc>
        <w:tc>
          <w:p>
            <w:pPr>
              <w:pStyle w:val="Compact"/>
              <w:jc w:val="left"/>
            </w:pPr>
            <w:r>
              <w:t xml:space="preserve">23</w:t>
            </w:r>
          </w:p>
        </w:tc>
        <w:tc>
          <w:p>
            <w:pPr>
              <w:pStyle w:val="Compact"/>
              <w:jc w:val="left"/>
            </w:pPr>
            <w:r>
              <w:t xml:space="preserve">20</w:t>
            </w:r>
          </w:p>
        </w:tc>
        <w:tc>
          <w:p>
            <w:pPr>
              <w:pStyle w:val="Compact"/>
              <w:jc w:val="left"/>
            </w:pPr>
            <w:r>
              <w:t xml:space="preserve">21</w:t>
            </w:r>
          </w:p>
        </w:tc>
        <w:tc>
          <w:p>
            <w:pPr>
              <w:pStyle w:val="Compact"/>
              <w:jc w:val="left"/>
            </w:pPr>
            <w:r>
              <w:t xml:space="preserve">19</w:t>
            </w:r>
          </w:p>
        </w:tc>
        <w:tc>
          <w:p>
            <w:pPr>
              <w:pStyle w:val="Compact"/>
              <w:jc w:val="left"/>
            </w:pPr>
            <w:r>
              <w:t xml:space="preserve">21</w:t>
            </w:r>
          </w:p>
        </w:tc>
        <w:tc>
          <w:p>
            <w:pPr>
              <w:pStyle w:val="Compact"/>
              <w:jc w:val="left"/>
            </w:pPr>
            <w:r>
              <w:t xml:space="preserve">20</w:t>
            </w:r>
          </w:p>
        </w:tc>
        <w:tc>
          <w:p>
            <w:pPr>
              <w:pStyle w:val="Compact"/>
              <w:jc w:val="left"/>
            </w:pPr>
            <w:r>
              <w:t xml:space="preserve">23</w:t>
            </w:r>
          </w:p>
        </w:tc>
        <w:tc>
          <w:p>
            <w:pPr>
              <w:pStyle w:val="Compact"/>
              <w:jc w:val="left"/>
            </w:pPr>
            <w:r>
              <w:t xml:space="preserve">22</w:t>
            </w:r>
          </w:p>
        </w:tc>
        <w:tc>
          <w:p>
            <w:pPr>
              <w:pStyle w:val="Compact"/>
              <w:jc w:val="left"/>
            </w:pPr>
            <w:r>
              <w:t xml:space="preserve">22</w:t>
            </w:r>
          </w:p>
        </w:tc>
        <w:tc>
          <w:p>
            <w:pPr>
              <w:pStyle w:val="Compact"/>
              <w:jc w:val="left"/>
            </w:pPr>
            <w:r>
              <w:t xml:space="preserve">22</w:t>
            </w:r>
          </w:p>
        </w:tc>
      </w:tr>
      <w:tr>
        <w:tc>
          <w:p>
            <w:pPr>
              <w:pStyle w:val="Compact"/>
              <w:jc w:val="left"/>
            </w:pPr>
            <w:r>
              <w:t xml:space="preserve">No, rather than yes</w:t>
            </w:r>
          </w:p>
        </w:tc>
        <w:tc>
          <w:p>
            <w:pPr>
              <w:pStyle w:val="Compact"/>
              <w:jc w:val="left"/>
            </w:pPr>
            <w:r>
              <w:t xml:space="preserve">39</w:t>
            </w:r>
          </w:p>
        </w:tc>
        <w:tc>
          <w:p>
            <w:pPr>
              <w:pStyle w:val="Compact"/>
              <w:jc w:val="left"/>
            </w:pPr>
            <w:r>
              <w:t xml:space="preserve">36</w:t>
            </w:r>
          </w:p>
        </w:tc>
        <w:tc>
          <w:p>
            <w:pPr>
              <w:pStyle w:val="Compact"/>
              <w:jc w:val="left"/>
            </w:pPr>
            <w:r>
              <w:t xml:space="preserve">36</w:t>
            </w:r>
          </w:p>
        </w:tc>
        <w:tc>
          <w:p>
            <w:pPr>
              <w:pStyle w:val="Compact"/>
              <w:jc w:val="left"/>
            </w:pPr>
            <w:r>
              <w:t xml:space="preserve">36</w:t>
            </w:r>
          </w:p>
        </w:tc>
        <w:tc>
          <w:p>
            <w:pPr>
              <w:pStyle w:val="Compact"/>
              <w:jc w:val="left"/>
            </w:pPr>
            <w:r>
              <w:t xml:space="preserve">34</w:t>
            </w:r>
          </w:p>
        </w:tc>
        <w:tc>
          <w:p>
            <w:pPr>
              <w:pStyle w:val="Compact"/>
              <w:jc w:val="left"/>
            </w:pPr>
            <w:r>
              <w:t xml:space="preserve">36</w:t>
            </w:r>
          </w:p>
        </w:tc>
        <w:tc>
          <w:p>
            <w:pPr>
              <w:pStyle w:val="Compact"/>
              <w:jc w:val="left"/>
            </w:pPr>
            <w:r>
              <w:t xml:space="preserve">36</w:t>
            </w:r>
          </w:p>
        </w:tc>
        <w:tc>
          <w:p>
            <w:pPr>
              <w:pStyle w:val="Compact"/>
              <w:jc w:val="left"/>
            </w:pPr>
            <w:r>
              <w:t xml:space="preserve">35</w:t>
            </w:r>
          </w:p>
        </w:tc>
        <w:tc>
          <w:p>
            <w:pPr>
              <w:pStyle w:val="Compact"/>
              <w:jc w:val="left"/>
            </w:pPr>
            <w:r>
              <w:t xml:space="preserve">37</w:t>
            </w:r>
          </w:p>
        </w:tc>
        <w:tc>
          <w:p>
            <w:pPr>
              <w:pStyle w:val="Compact"/>
              <w:jc w:val="left"/>
            </w:pPr>
            <w:r>
              <w:t xml:space="preserve">33</w:t>
            </w:r>
          </w:p>
        </w:tc>
      </w:tr>
      <w:tr>
        <w:tc>
          <w:p>
            <w:pPr>
              <w:pStyle w:val="Compact"/>
              <w:jc w:val="left"/>
            </w:pPr>
            <w:r>
              <w:t xml:space="preserve">Definitely no</w:t>
            </w:r>
          </w:p>
        </w:tc>
        <w:tc>
          <w:p>
            <w:pPr>
              <w:pStyle w:val="Compact"/>
              <w:jc w:val="left"/>
            </w:pPr>
            <w:r>
              <w:t xml:space="preserve">23</w:t>
            </w:r>
          </w:p>
        </w:tc>
        <w:tc>
          <w:p>
            <w:pPr>
              <w:pStyle w:val="Compact"/>
              <w:jc w:val="left"/>
            </w:pPr>
            <w:r>
              <w:t xml:space="preserve">29</w:t>
            </w:r>
          </w:p>
        </w:tc>
        <w:tc>
          <w:p>
            <w:pPr>
              <w:pStyle w:val="Compact"/>
              <w:jc w:val="left"/>
            </w:pPr>
            <w:r>
              <w:t xml:space="preserve">29</w:t>
            </w:r>
          </w:p>
        </w:tc>
        <w:tc>
          <w:p>
            <w:pPr>
              <w:pStyle w:val="Compact"/>
              <w:jc w:val="left"/>
            </w:pPr>
            <w:r>
              <w:t xml:space="preserve">32</w:t>
            </w:r>
          </w:p>
        </w:tc>
        <w:tc>
          <w:p>
            <w:pPr>
              <w:pStyle w:val="Compact"/>
              <w:jc w:val="left"/>
            </w:pPr>
            <w:r>
              <w:t xml:space="preserve">26</w:t>
            </w:r>
          </w:p>
        </w:tc>
        <w:tc>
          <w:p>
            <w:pPr>
              <w:pStyle w:val="Compact"/>
              <w:jc w:val="left"/>
            </w:pPr>
            <w:r>
              <w:t xml:space="preserve">27</w:t>
            </w:r>
          </w:p>
        </w:tc>
        <w:tc>
          <w:p>
            <w:pPr>
              <w:pStyle w:val="Compact"/>
              <w:jc w:val="left"/>
            </w:pPr>
            <w:r>
              <w:t xml:space="preserve">22</w:t>
            </w:r>
          </w:p>
        </w:tc>
        <w:tc>
          <w:p>
            <w:pPr>
              <w:pStyle w:val="Compact"/>
              <w:jc w:val="left"/>
            </w:pPr>
            <w:r>
              <w:t xml:space="preserve">25</w:t>
            </w:r>
          </w:p>
        </w:tc>
        <w:tc>
          <w:p>
            <w:pPr>
              <w:pStyle w:val="Compact"/>
              <w:jc w:val="left"/>
            </w:pPr>
            <w:r>
              <w:t xml:space="preserve">22</w:t>
            </w:r>
          </w:p>
        </w:tc>
        <w:tc>
          <w:p>
            <w:pPr>
              <w:pStyle w:val="Compact"/>
              <w:jc w:val="left"/>
            </w:pPr>
            <w:r>
              <w:t xml:space="preserve">24</w:t>
            </w:r>
          </w:p>
        </w:tc>
      </w:tr>
      <w:tr>
        <w:tc>
          <w:p>
            <w:pPr>
              <w:pStyle w:val="Compact"/>
              <w:jc w:val="left"/>
            </w:pPr>
            <w:r>
              <w:t xml:space="preserve">Difficult to answer</w:t>
            </w:r>
          </w:p>
        </w:tc>
        <w:tc>
          <w:p>
            <w:pPr>
              <w:pStyle w:val="Compact"/>
              <w:jc w:val="left"/>
            </w:pPr>
            <w:r>
              <w:t xml:space="preserve">4</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r>
    </w:tbl>
    <w:p>
      <w:pPr>
        <w:pStyle w:val="TableCaption"/>
      </w:pPr>
      <w:r>
        <w:t xml:space="preserve">caption here</w:t>
      </w:r>
      <w:r>
        <w:t xml:space="preserve"> </w:t>
      </w:r>
      <w:r>
        <w:rPr>
          <w:i/>
        </w:rPr>
        <w:t xml:space="preserve">Source: Levada Center 2014</w:t>
      </w:r>
    </w:p>
    <w:tbl>
      <w:tblPr>
        <w:tblStyle w:val="TableNormal"/>
        <w:tblCaption w:val="Who should run the following services? Source: Distinctions in Modern Russia-surveys 1999/2007"/>
      </w:tblPr>
      <w:tblGrid>
        <w:gridCol w:w="2530"/>
        <w:gridCol w:w="770"/>
        <w:gridCol w:w="770"/>
        <w:gridCol w:w="990"/>
        <w:gridCol w:w="770"/>
        <w:gridCol w:w="990"/>
        <w:gridCol w:w="440"/>
      </w:tblGrid>
      <w:tr>
        <w:tc>
          <w:tcPr>
            <w:tcBorders>
              <w:bottom w:val="single"/>
            </w:tcBorders>
            <w:vAlign w:val="bottom"/>
          </w:tcPr>
          <w:p/>
        </w:tc>
        <w:tc>
          <w:tcPr>
            <w:tcBorders>
              <w:bottom w:val="single"/>
            </w:tcBorders>
            <w:vAlign w:val="bottom"/>
          </w:tcPr>
          <w:p>
            <w:pPr>
              <w:pStyle w:val="Compact"/>
              <w:jc w:val="left"/>
            </w:pPr>
            <w:r>
              <w:t xml:space="preserve">Child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Elderly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Medical 1999</w:t>
            </w:r>
          </w:p>
        </w:tc>
        <w:tc>
          <w:tcPr>
            <w:tcBorders>
              <w:bottom w:val="single"/>
            </w:tcBorders>
            <w:vAlign w:val="bottom"/>
          </w:tcPr>
          <w:p>
            <w:pPr>
              <w:pStyle w:val="Compact"/>
              <w:jc w:val="left"/>
            </w:pPr>
            <w:r>
              <w:t xml:space="preserve">Care 2007</w:t>
            </w:r>
          </w:p>
        </w:tc>
      </w:tr>
      <w:tr>
        <w:tc>
          <w:p>
            <w:pPr>
              <w:pStyle w:val="Compact"/>
              <w:jc w:val="left"/>
            </w:pPr>
            <w:r>
              <w:t xml:space="preserve">State</w:t>
            </w:r>
          </w:p>
        </w:tc>
        <w:tc>
          <w:p>
            <w:pPr>
              <w:pStyle w:val="Compact"/>
              <w:jc w:val="left"/>
            </w:pPr>
            <w:r>
              <w:t xml:space="preserve">66.4</w:t>
            </w:r>
          </w:p>
        </w:tc>
        <w:tc>
          <w:p>
            <w:pPr>
              <w:pStyle w:val="Compact"/>
              <w:jc w:val="left"/>
            </w:pPr>
            <w:r>
              <w:t xml:space="preserve">42.8</w:t>
            </w:r>
          </w:p>
        </w:tc>
        <w:tc>
          <w:p>
            <w:pPr>
              <w:pStyle w:val="Compact"/>
              <w:jc w:val="left"/>
            </w:pPr>
            <w:r>
              <w:t xml:space="preserve">77.4</w:t>
            </w:r>
          </w:p>
        </w:tc>
        <w:tc>
          <w:p>
            <w:pPr>
              <w:pStyle w:val="Compact"/>
              <w:jc w:val="left"/>
            </w:pPr>
            <w:r>
              <w:t xml:space="preserve">55.7</w:t>
            </w:r>
          </w:p>
        </w:tc>
        <w:tc>
          <w:p>
            <w:pPr>
              <w:pStyle w:val="Compact"/>
              <w:jc w:val="left"/>
            </w:pPr>
            <w:r>
              <w:t xml:space="preserve">76.4</w:t>
            </w:r>
          </w:p>
        </w:tc>
        <w:tc>
          <w:p>
            <w:pPr>
              <w:pStyle w:val="Compact"/>
              <w:jc w:val="left"/>
            </w:pPr>
            <w:r>
              <w:t xml:space="preserve">60.5</w:t>
            </w:r>
          </w:p>
        </w:tc>
      </w:tr>
      <w:tr>
        <w:tc>
          <w:p>
            <w:pPr>
              <w:pStyle w:val="Compact"/>
              <w:jc w:val="left"/>
            </w:pPr>
            <w:r>
              <w:t xml:space="preserve">Regional authorities</w:t>
            </w:r>
          </w:p>
        </w:tc>
        <w:tc>
          <w:p>
            <w:pPr>
              <w:pStyle w:val="Compact"/>
              <w:jc w:val="left"/>
            </w:pPr>
            <w:r>
              <w:t xml:space="preserve">2.8</w:t>
            </w:r>
          </w:p>
        </w:tc>
        <w:tc>
          <w:p>
            <w:pPr>
              <w:pStyle w:val="Compact"/>
              <w:jc w:val="left"/>
            </w:pPr>
            <w:r>
              <w:t xml:space="preserve">6.1</w:t>
            </w:r>
          </w:p>
        </w:tc>
        <w:tc>
          <w:p>
            <w:pPr>
              <w:pStyle w:val="Compact"/>
              <w:jc w:val="left"/>
            </w:pPr>
            <w:r>
              <w:t xml:space="preserve">4.2</w:t>
            </w:r>
          </w:p>
        </w:tc>
        <w:tc>
          <w:p>
            <w:pPr>
              <w:pStyle w:val="Compact"/>
              <w:jc w:val="left"/>
            </w:pPr>
            <w:r>
              <w:t xml:space="preserve">8.4</w:t>
            </w:r>
          </w:p>
        </w:tc>
        <w:tc>
          <w:p>
            <w:pPr>
              <w:pStyle w:val="Compact"/>
              <w:jc w:val="left"/>
            </w:pPr>
            <w:r>
              <w:t xml:space="preserve">4.6</w:t>
            </w:r>
          </w:p>
        </w:tc>
        <w:tc>
          <w:p>
            <w:pPr>
              <w:pStyle w:val="Compact"/>
              <w:jc w:val="left"/>
            </w:pPr>
            <w:r>
              <w:t xml:space="preserve">15.0</w:t>
            </w:r>
          </w:p>
        </w:tc>
      </w:tr>
      <w:tr>
        <w:tc>
          <w:p>
            <w:pPr>
              <w:pStyle w:val="Compact"/>
              <w:jc w:val="left"/>
            </w:pPr>
            <w:r>
              <w:t xml:space="preserve">Local authorities</w:t>
            </w:r>
          </w:p>
        </w:tc>
        <w:tc>
          <w:p>
            <w:pPr>
              <w:pStyle w:val="Compact"/>
              <w:jc w:val="left"/>
            </w:pPr>
            <w:r>
              <w:t xml:space="preserve">7.2</w:t>
            </w:r>
          </w:p>
        </w:tc>
        <w:tc>
          <w:p>
            <w:pPr>
              <w:pStyle w:val="Compact"/>
              <w:jc w:val="left"/>
            </w:pPr>
            <w:r>
              <w:t xml:space="preserve">9.1</w:t>
            </w:r>
          </w:p>
        </w:tc>
        <w:tc>
          <w:p>
            <w:pPr>
              <w:pStyle w:val="Compact"/>
              <w:jc w:val="left"/>
            </w:pPr>
            <w:r>
              <w:t xml:space="preserve">9.3</w:t>
            </w:r>
          </w:p>
        </w:tc>
        <w:tc>
          <w:p>
            <w:pPr>
              <w:pStyle w:val="Compact"/>
              <w:jc w:val="left"/>
            </w:pPr>
            <w:r>
              <w:t xml:space="preserve">14.1</w:t>
            </w:r>
          </w:p>
        </w:tc>
        <w:tc>
          <w:p>
            <w:pPr>
              <w:pStyle w:val="Compact"/>
              <w:jc w:val="left"/>
            </w:pPr>
            <w:r>
              <w:t xml:space="preserve">11.3</w:t>
            </w:r>
          </w:p>
        </w:tc>
        <w:tc>
          <w:p>
            <w:pPr>
              <w:pStyle w:val="Compact"/>
              <w:jc w:val="left"/>
            </w:pPr>
            <w:r>
              <w:t xml:space="preserve">18.6</w:t>
            </w:r>
          </w:p>
        </w:tc>
      </w:tr>
      <w:tr>
        <w:tc>
          <w:p>
            <w:pPr>
              <w:pStyle w:val="Compact"/>
              <w:jc w:val="left"/>
            </w:pPr>
            <w:r>
              <w:t xml:space="preserve">Private enterprises</w:t>
            </w:r>
          </w:p>
        </w:tc>
        <w:tc>
          <w:p>
            <w:pPr>
              <w:pStyle w:val="Compact"/>
              <w:jc w:val="left"/>
            </w:pPr>
            <w:r>
              <w:t xml:space="preserve">0.3</w:t>
            </w:r>
          </w:p>
        </w:tc>
        <w:tc>
          <w:p>
            <w:pPr>
              <w:pStyle w:val="Compact"/>
              <w:jc w:val="left"/>
            </w:pPr>
            <w:r>
              <w:t xml:space="preserve">0.5</w:t>
            </w:r>
          </w:p>
        </w:tc>
        <w:tc>
          <w:p>
            <w:pPr>
              <w:pStyle w:val="Compact"/>
              <w:jc w:val="left"/>
            </w:pPr>
            <w:r>
              <w:t xml:space="preserve">0.8</w:t>
            </w:r>
          </w:p>
        </w:tc>
        <w:tc>
          <w:p>
            <w:pPr>
              <w:pStyle w:val="Compact"/>
              <w:jc w:val="left"/>
            </w:pPr>
            <w:r>
              <w:t xml:space="preserve">0.6</w:t>
            </w:r>
          </w:p>
        </w:tc>
        <w:tc>
          <w:p>
            <w:pPr>
              <w:pStyle w:val="Compact"/>
              <w:jc w:val="left"/>
            </w:pPr>
            <w:r>
              <w:t xml:space="preserve">2.2</w:t>
            </w:r>
          </w:p>
        </w:tc>
        <w:tc>
          <w:p>
            <w:pPr>
              <w:pStyle w:val="Compact"/>
              <w:jc w:val="left"/>
            </w:pPr>
            <w:r>
              <w:t xml:space="preserve">0.9</w:t>
            </w:r>
          </w:p>
        </w:tc>
      </w:tr>
      <w:tr>
        <w:tc>
          <w:p>
            <w:pPr>
              <w:pStyle w:val="Compact"/>
              <w:jc w:val="left"/>
            </w:pPr>
            <w:r>
              <w:t xml:space="preserve">Citizens</w:t>
            </w:r>
          </w:p>
        </w:tc>
        <w:tc>
          <w:p>
            <w:pPr>
              <w:pStyle w:val="Compact"/>
              <w:jc w:val="left"/>
            </w:pPr>
            <w:r>
              <w:t xml:space="preserve">18.8</w:t>
            </w:r>
          </w:p>
        </w:tc>
        <w:tc>
          <w:p>
            <w:pPr>
              <w:pStyle w:val="Compact"/>
              <w:jc w:val="left"/>
            </w:pPr>
            <w:r>
              <w:t xml:space="preserve">36.7</w:t>
            </w:r>
          </w:p>
        </w:tc>
        <w:tc>
          <w:p>
            <w:pPr>
              <w:pStyle w:val="Compact"/>
              <w:jc w:val="left"/>
            </w:pPr>
            <w:r>
              <w:t xml:space="preserve">5.4</w:t>
            </w:r>
          </w:p>
        </w:tc>
        <w:tc>
          <w:p>
            <w:pPr>
              <w:pStyle w:val="Compact"/>
              <w:jc w:val="left"/>
            </w:pPr>
            <w:r>
              <w:t xml:space="preserve">16.2</w:t>
            </w:r>
          </w:p>
        </w:tc>
        <w:tc>
          <w:p>
            <w:pPr>
              <w:pStyle w:val="Compact"/>
              <w:jc w:val="left"/>
            </w:pPr>
            <w:r>
              <w:t xml:space="preserve">1.4</w:t>
            </w:r>
          </w:p>
        </w:tc>
        <w:tc>
          <w:p>
            <w:pPr>
              <w:pStyle w:val="Compact"/>
              <w:jc w:val="left"/>
            </w:pPr>
            <w:r>
              <w:t xml:space="preserve">0.1</w:t>
            </w:r>
          </w:p>
        </w:tc>
      </w:tr>
      <w:tr>
        <w:tc>
          <w:p>
            <w:pPr>
              <w:pStyle w:val="Compact"/>
              <w:jc w:val="left"/>
            </w:pPr>
            <w:r>
              <w:t xml:space="preserve">Hard to say</w:t>
            </w:r>
          </w:p>
        </w:tc>
        <w:tc>
          <w:p>
            <w:pPr>
              <w:pStyle w:val="Compact"/>
              <w:jc w:val="left"/>
            </w:pPr>
            <w:r>
              <w:t xml:space="preserve">4.5</w:t>
            </w:r>
          </w:p>
        </w:tc>
        <w:tc>
          <w:p>
            <w:pPr>
              <w:pStyle w:val="Compact"/>
              <w:jc w:val="left"/>
            </w:pPr>
            <w:r>
              <w:t xml:space="preserve">4.8</w:t>
            </w:r>
          </w:p>
        </w:tc>
        <w:tc>
          <w:p>
            <w:pPr>
              <w:pStyle w:val="Compact"/>
              <w:jc w:val="left"/>
            </w:pPr>
            <w:r>
              <w:t xml:space="preserve">2.9</w:t>
            </w:r>
          </w:p>
        </w:tc>
        <w:tc>
          <w:p>
            <w:pPr>
              <w:pStyle w:val="Compact"/>
              <w:jc w:val="left"/>
            </w:pPr>
            <w:r>
              <w:t xml:space="preserve">5.0</w:t>
            </w:r>
          </w:p>
        </w:tc>
        <w:tc>
          <w:p>
            <w:pPr>
              <w:pStyle w:val="Compact"/>
              <w:jc w:val="left"/>
            </w:pPr>
            <w:r>
              <w:t xml:space="preserve">4.1</w:t>
            </w:r>
          </w:p>
        </w:tc>
        <w:tc>
          <w:p>
            <w:pPr>
              <w:pStyle w:val="Compact"/>
              <w:jc w:val="left"/>
            </w:pPr>
            <w:r>
              <w:t xml:space="preserve">4.9</w:t>
            </w:r>
          </w:p>
        </w:tc>
      </w:tr>
      <w:tr>
        <w:tc>
          <w:p>
            <w:pPr>
              <w:pStyle w:val="Compact"/>
              <w:jc w:val="left"/>
            </w:pPr>
            <w:r>
              <w:t xml:space="preserve">TOTAL</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bl>
    <w:p>
      <w:pPr>
        <w:pStyle w:val="TableCaption"/>
      </w:pPr>
      <w:r>
        <w:t xml:space="preserve">Who should run the following services?</w:t>
      </w:r>
      <w:r>
        <w:t xml:space="preserve"> </w:t>
      </w:r>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
      </w:r>
    </w:p>
    <w:bookmarkStart w:id="49" w:name="discussion"/>
    <w:p>
      <w:pPr>
        <w:pStyle w:val="Heading1"/>
      </w:pPr>
      <w:r>
        <w:t xml:space="preserve">Discussion</w:t>
      </w:r>
    </w:p>
    <w:bookmarkEnd w:id="49"/>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0" w:name="references"/>
    <w:p>
      <w:pPr>
        <w:pStyle w:val="Heading1"/>
      </w:pPr>
      <w:r>
        <w:t xml:space="preserve">References</w:t>
      </w:r>
    </w:p>
    <w:bookmarkEnd w:id="50"/>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w:t>
      </w:r>
    </w:p>
    <w:p>
      <w:pPr>
        <w:pStyle w:val="Compact"/>
        <w:numPr>
          <w:numId w:val="6"/>
          <w:ilvl w:val="0"/>
        </w:numPr>
      </w:pPr>
      <w:r>
        <w:t xml:space="preserve">Chernova, Zhanna (2010): Molodaia sem'ia kak ob'ekt / sub'ekt semenoi politiki. Polit.ru, 30 November 2010. http://polit.ru/article/2010/11/30/family/</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 = Materinskii kapital stanet polnost'iu zhilischnym. Johnson, Janet E., and Aino Saarinen. 2011. “Assessing Civil Society in Putin’s Russia: The Plight of Women’s Crisis Centers.” Communist and Post-Communist Studies 44 (1): 41–52.</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Gazing at Welfare, Gender and Agency in Post-socialist Countries. Ed. by Maija Jäppinen, Meri Kulmala &amp; Aino Saarinen. Cmabridge Scholars Publishing.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&amp; Tarsenko, Anna (forthcoming 2015): The New Old-fashioned? Russian Veterans' Oorganizations at the Crossroads of Social Services and Social Aadvocacy. An article manuscript. In Authoritarian Modernization in Post-Soviet Russia: Dilemmas, Challenges, and Constraints. Ed. by Vladimir Gel'man. Forthcoming in 2015.</w:t>
      </w:r>
      <w:r>
        <w:br w:type="textWrapping"/>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Aino (2012): Welfare Crisis and Crisis Centers in Russia Today. In And They Lived Happily Ever After? Norms and Everyday Practices of Family and Parenthood in Russia and Eastern Europe. Ed. by Helene Carlbäck, Yulia Gradskova, Zhanna Kravchenko. CEU Press, Budapest and New York.</w:t>
      </w:r>
      <w:r>
        <w:br w:type="textWrapping"/>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2">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4">
    <w:p>
      <w:pPr>
        <w:pStyle w:val="FootnoteText"/>
      </w:pPr>
      <w:r>
        <w:rPr>
          <w:rStyle w:val="FootnoteRef"/>
        </w:rPr>
        <w:footnoteRef/>
      </w:r>
      <w:r>
        <w:t xml:space="preserve">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29aecc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70718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2014-04-29</dcterms:created>
  <dcterms:modified xsi:type="dcterms:W3CDTF">2014-04-29</dcterms:modified>
</cp:coreProperties>
</file>