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Oscillating</w:t>
      </w:r>
      <w:r>
        <w:t xml:space="preserve"> </w:t>
      </w:r>
      <w:r>
        <w:t xml:space="preserve">between</w:t>
      </w:r>
      <w:r>
        <w:t xml:space="preserve"> </w:t>
      </w:r>
      <w:r>
        <w:t xml:space="preserve">statism</w:t>
      </w:r>
      <w:r>
        <w:t xml:space="preserve"> </w:t>
      </w:r>
      <w:r>
        <w:t xml:space="preserve">and</w:t>
      </w:r>
      <w:r>
        <w:t xml:space="preserve"> </w:t>
      </w:r>
      <w:r>
        <w:t xml:space="preserve">neo-liberalism:</w:t>
      </w:r>
      <w:r>
        <w:t xml:space="preserve"> </w:t>
      </w:r>
      <w:r>
        <w:t xml:space="preserve">welfare</w:t>
      </w:r>
      <w:r>
        <w:t xml:space="preserve"> </w:t>
      </w:r>
      <w:r>
        <w:t xml:space="preserve">paradoxes</w:t>
      </w:r>
      <w:r>
        <w:t xml:space="preserve"> </w:t>
      </w:r>
      <w:r>
        <w:t xml:space="preserve">in</w:t>
      </w:r>
      <w:r>
        <w:t xml:space="preserve"> </w:t>
      </w:r>
      <w:r>
        <w:t xml:space="preserve">Russia</w:t>
      </w:r>
    </w:p>
    <w:p>
      <w:pPr>
        <w:pStyle w:val="Authors"/>
      </w:pPr>
      <w:r>
        <w:t xml:space="preserve">Kainu</w:t>
      </w:r>
      <w:r>
        <w:t xml:space="preserve"> </w:t>
      </w:r>
      <w:r>
        <w:t xml:space="preserve">Markus</w:t>
      </w:r>
      <w:r>
        <w:br w:type="textWrapping"/>
      </w:r>
      <w:r>
        <w:t xml:space="preserve">Kivinen</w:t>
      </w:r>
      <w:r>
        <w:t xml:space="preserve"> </w:t>
      </w:r>
      <w:r>
        <w:t xml:space="preserve">Markku</w:t>
      </w:r>
      <w:r>
        <w:br w:type="textWrapping"/>
      </w:r>
      <w:r>
        <w:t xml:space="preserve">Kulmala</w:t>
      </w:r>
      <w:r>
        <w:t xml:space="preserve"> </w:t>
      </w:r>
      <w:r>
        <w:t xml:space="preserve">Meri</w:t>
      </w:r>
      <w:r>
        <w:br w:type="textWrapping"/>
      </w:r>
      <w:r>
        <w:t xml:space="preserve">Nikula</w:t>
      </w:r>
      <w:r>
        <w:t xml:space="preserve"> </w:t>
      </w:r>
      <w:r>
        <w:t xml:space="preserve">Jouko</w:t>
      </w:r>
    </w:p>
    <w:p>
      <w:pPr>
        <w:pStyle w:val="Date"/>
      </w:pPr>
      <w:r>
        <w:t xml:space="preserve">March</w:t>
      </w:r>
      <w:r>
        <w:t xml:space="preserve"> </w:t>
      </w:r>
      <w:r>
        <w:t xml:space="preserve">6,</w:t>
      </w:r>
      <w:r>
        <w:t xml:space="preserve"> </w:t>
      </w:r>
      <w:r>
        <w:t xml:space="preserve">2014</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drawing>
          <wp:inline>
            <wp:extent cx="8610600" cy="5537200"/>
            <wp:effectExtent b="0" l="0" r="0" t="0"/>
            <wp:docPr descr="" id="1" name="Picture"/>
            <a:graphic>
              <a:graphicData uri="http://schemas.openxmlformats.org/drawingml/2006/picture">
                <pic:pic>
                  <pic:nvPicPr>
                    <pic:cNvPr descr="http://upload.wikimedia.org/wikipedia/commons/0/06/Russian_economy_since_fall_of_Soviet_Union.PNG" id="0" name="Picture"/>
                    <pic:cNvPicPr>
                      <a:picLocks noChangeArrowheads="1" noChangeAspect="1"/>
                    </pic:cNvPicPr>
                  </pic:nvPicPr>
                  <pic:blipFill>
                    <a:blip r:embed="rId24"/>
                    <a:stretch>
                      <a:fillRect/>
                    </a:stretch>
                  </pic:blipFill>
                  <pic:spPr bwMode="auto">
                    <a:xfrm>
                      <a:off x="0" y="0"/>
                      <a:ext cx="8610600" cy="5537200"/>
                    </a:xfrm>
                    <a:prstGeom prst="rect">
                      <a:avLst/>
                    </a:prstGeom>
                    <a:noFill/>
                    <a:ln w="9525">
                      <a:noFill/>
                      <a:headEnd/>
                      <a:tailEnd/>
                    </a:ln>
                  </pic:spPr>
                </pic:pic>
              </a:graphicData>
            </a:graphic>
          </wp:inline>
        </w:drawing>
      </w:r>
    </w:p>
    <w:p>
      <w:pPr>
        <w:pStyle w:val="ImageCaption"/>
      </w:pPr>
      <w:r>
        <w:t xml:space="preserve">Russian economy</w:t>
      </w:r>
    </w:p>
    <w:p>
      <w:r>
        <w:rPr>
          <w:rStyle w:val="VerbatimChar"/>
        </w:rPr>
        <w:t xml:space="preserve">Oil-led economy -- investments in welfare -&gt; Yet, the picture does not look that good that one would assume</w:t>
      </w:r>
    </w:p>
    <w:p>
      <w:r>
        <w:rPr>
          <w:rStyle w:val="VerbatimChar"/>
        </w:rPr>
        <w:t xml:space="preserve">A hook figure/chart somewhere here in the beginning --</w:t>
      </w:r>
    </w:p>
    <w:p>
      <w:r>
        <w:t xml:space="preserve">After the collapse of the communist regime, Russian welfare structures have been under constant reformation and social responsibilities of the state have been taken back and forth among the different governmental levels. Basically, the trend has been to liberalize, privatize and decentralize the social obligations and to restrict the role of the state in welfare provision (Cook 2007). Yet, in the 2000s, under the Putin-Medvedev tandem, there has been a reverse trend toward greater centralization of social policy (Cook 211). At the same time – neo-liberal reforms to outsource previous social obligations onto the shoulders of Russian NGOs, businesses and individual citizens (cf. Kulmala &amp; Tarasenko 2014)</w:t>
      </w:r>
    </w:p>
    <w:p>
      <w:r>
        <w:t xml:space="preserve">The above-listed, sometimes even controversial to one another, federal-level welfare policies require profound and multi-level analysis. With this article we aim to contribute to the debates -- - How to explain these controversial tendencies / paradoxes?</w:t>
      </w:r>
    </w:p>
    <w:p>
      <w:r>
        <w:rPr>
          <w:b/>
        </w:rPr>
        <w:t xml:space="preserve">Question</w:t>
      </w:r>
      <w:r>
        <w:t xml:space="preserve">:</w:t>
      </w:r>
      <w:r>
        <w:t xml:space="preserve"> </w:t>
      </w:r>
      <w:r>
        <w:rPr>
          <w:i/>
        </w:rPr>
        <w:t xml:space="preserve">relationship between the political regime and welfare arrangements</w:t>
      </w:r>
    </w:p>
    <w:p>
      <w:r>
        <w:t xml:space="preserve">In order to establish a more comprehensive understanding of the Russian welfare system, we claim that such macro level information is to be linked to actual practices at the local level. Thus, we juxtapose national-level ideologies and policies with one another and then with the actual practices at the grassroots level in order to see how macro-level ideologies manifest themselves and possibly become negotiated and thus modified in the micro-level realities.</w:t>
      </w:r>
    </w:p>
    <w:bookmarkStart w:id="25" w:name="conventional-wisdom"/>
    <w:p>
      <w:pPr>
        <w:pStyle w:val="Heading1"/>
      </w:pPr>
      <w:r>
        <w:t xml:space="preserve">“Conventional wisdom”</w:t>
      </w:r>
    </w:p>
    <w:bookmarkEnd w:id="25"/>
    <w:bookmarkStart w:id="26" w:name="post-socialist-liberalization"/>
    <w:p>
      <w:pPr>
        <w:pStyle w:val="Heading2"/>
      </w:pPr>
      <w:r>
        <w:t xml:space="preserve">Post-socialist liberalization</w:t>
      </w:r>
    </w:p>
    <w:bookmarkEnd w:id="26"/>
    <w:p>
      <w:r>
        <w:t xml:space="preserve">As noted, after the collapse of the socialist welfare system, basically, the trend has been to liberalize, privatize and decentralize the social obligations and thus to restrict the role of the Russian state in welfare provision. This was motivated by restricting the role of the state in welfare provision (Cerami 2009; Cook 2007; Kivinen, forthcoming). The collapse of the economy in the late Soviet and Yeltsin’s years was disastrous for people’s lives as well as for the state’s provision of health and social services. Under Yeltsin, the priority was relieving pressures on the state budget.</w:t>
      </w:r>
    </w:p>
    <w:bookmarkStart w:id="27" w:name="russia-oil-led-welfare-miracle"/>
    <w:p>
      <w:pPr>
        <w:pStyle w:val="Heading2"/>
      </w:pPr>
      <w:r>
        <w:t xml:space="preserve">Russia oil-led welfare miracle</w:t>
      </w:r>
    </w:p>
    <w:bookmarkEnd w:id="27"/>
    <w:p>
      <w:r>
        <w:t xml:space="preserve">(Cut from: Jäppinen, Johnson &amp; Kulmala 2014): As part of the story of Putin’s (and Medvedev’s) popularity among Russians, a second usual framework is the idea that social services have been bolstered, leaving to improvements in people’s lives (McFaul and Stoner-Weiss 2008). In the 2000s, under the Putin regime, in parallel to continuing of downsizing the old social policy, there has been a reverse trend toward greater centralization of social policy. Social policy was designated as the most urgent task for all levels of government and administration, and particularly since 2005, the president seemed to turn the direction back towards statist welfare policies (Cook 2011; Remington 2011). With rising state revenues from the high prices of oil on the international market, the narrative is that Putin rebuilt the welfare state—though, in practice, most prominent economic growth and consequent reforms took place under Medvedev’s presidency</w:t>
      </w:r>
      <w:r>
        <w:t xml:space="preserve"> </w:t>
      </w:r>
      <w:r>
        <w:rPr>
          <w:rStyle w:val="FootnoteRef"/>
        </w:rPr>
        <w:footnoteReference w:id="28"/>
      </w:r>
      <w:r>
        <w:t xml:space="preserve">. 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w:t>
      </w:r>
      <w:r>
        <w:rPr>
          <w:rStyle w:val="FootnoteRef"/>
        </w:rPr>
        <w:footnoteReference w:id="29"/>
      </w:r>
      <w:r>
        <w:t xml:space="preserve">. Improving the quality of life of citizens has been one of the primary targets to which the available financial resources have been used. Between 2007 and 2010, expenditures for social policy doubled (Cerami 2009, 113). At the same time, poverty rates considerably declined and rapidly growing inequality stabilized (Kivinen, forthcoming). Cerami (2009) called such oil-led social policy the Russian miracle—the future of which, however, remains highly volatile and unpredictable.</w:t>
      </w:r>
    </w:p>
    <w:p>
      <w:r>
        <w:t xml:space="preserve">The budget surplus grew until the 2008 world-wide economic crisis, when Russia had one of the most severe contraction among G20 countries in 2009 (Sutela 2012, 217; also Kivinen, forthcoming). Yet, the commitment of the Russian government to welfare continued even during and after the world-wide economic crisis in 2008.</w:t>
      </w:r>
      <w:r>
        <w:rPr>
          <w:rStyle w:val="FootnoteRef"/>
        </w:rPr>
        <w:footnoteReference w:id="30"/>
      </w:r>
      <w:r>
        <w:t xml:space="preserve"> </w:t>
      </w:r>
      <w:r>
        <w:t xml:space="preserve">Welfare benefits available for citizens have substantially increased and the government even raised pensions in 2008-2010 (Cerami 2009, 113-114; Kivinen, forthcoming; Sutela 2012). The Russian government even raised pensions. The priorities of the welfare efforts are most evident in the introduction of the “National Priority Projects” (implemented in 2007-2012) which, combined with ambitious demographic policies, were to address the administration’s concerns about declining population being a threat to Russia’s national security and economic development (Cook 2011, 14). They attempted to increase birth rate by supporting motherhood and young families in particular, despite the reality that the most pressing problem is in working-age male mortality (Sutela 2012, 207-209).</w:t>
      </w:r>
    </w:p>
    <w:p>
      <w:r>
        <w:t xml:space="preserve">The welfare state was an important part of Putin’s promises as he moved to reclaim the presidency in 2011, ramping up social spending that neoliberal economists argue are too costly for long term growth, even if the Russian economy has been recovering from the crisis rapidly and Russia’s fiscal situation is still among the best of the world (Kivinen, forthcoming).</w:t>
      </w:r>
    </w:p>
    <w:bookmarkStart w:id="31" w:name="increasing-neo-liberalism-in-the-2000s"/>
    <w:p>
      <w:pPr>
        <w:pStyle w:val="Heading2"/>
      </w:pPr>
      <w:r>
        <w:t xml:space="preserve">Increasing neo-liberalism in the 2000s’</w:t>
      </w:r>
    </w:p>
    <w:bookmarkEnd w:id="31"/>
    <w:p>
      <w:r>
        <w:t xml:space="preserve">Under the Putin/Medvedev tandem, in parallel to statist turn -- continuation of downsizing the old social policy, recent tendencies to rearrange social responsibilities prompt us to think whether such shifts in division of those responsibilities, previously dominantly carried out by the state, can be displayed as a neoliberal turn of new principles in social provision. out-source its previous social obligations onto the shoulders of Russian (socially oriented) NGOs (cf. Kulmala &amp; Tarasenko 2013; Kulmala 2013, 128, 288).</w:t>
      </w:r>
      <w:r>
        <w:rPr>
          <w:rStyle w:val="FootnoteRef"/>
        </w:rPr>
        <w:footnoteReference w:id="32"/>
      </w:r>
    </w:p>
    <w:p>
      <w:r>
        <w:t xml:space="preserve">Also Russian enterprises are encouraged – or better to say somewhat expected – to actively participate in various social programs. When it comes to big (especially, international) companies, social programs (educational, social assistance etc.) are embedded into their activity. For instance, Intel, IBM, City Bank, Coca Cola and others are quite active in this sphere. There are certain endeavors made by the Ministry of Economic Development to (cut) reduce taxes on charity activity for a big business. Small business is encouraged to develop activity in social spheres as well.</w:t>
      </w:r>
      <w:r>
        <w:rPr>
          <w:rStyle w:val="FootnoteRef"/>
        </w:rPr>
        <w:footnoteReference w:id="33"/>
      </w:r>
      <w:r>
        <w:t xml:space="preserve"> </w:t>
      </w:r>
      <w:r>
        <w:t xml:space="preserve">The Federal law on “Business accounting” was passed to release from business accounting (first reading in the State Duma) can be mentioned among other policy measures for encouraging enterprises to get engaged into social projects.</w:t>
      </w:r>
    </w:p>
    <w:p>
      <w:r>
        <w:t xml:space="preserve">Charity campaigns -- to attract attention, win public trust and raise money for the activities that have traditionally belonged to the state’s social responsibilities in the Russian context.</w:t>
      </w:r>
      <w:r>
        <w:rPr>
          <w:rStyle w:val="FootnoteRef"/>
        </w:rPr>
        <w:footnoteReference w:id="34"/>
      </w:r>
    </w:p>
    <w:bookmarkStart w:id="35" w:name="challenging-the-conventional-stories"/>
    <w:p>
      <w:pPr>
        <w:pStyle w:val="Heading1"/>
      </w:pPr>
      <w:r>
        <w:t xml:space="preserve">Challenging the conventional stories</w:t>
      </w:r>
    </w:p>
    <w:bookmarkEnd w:id="35"/>
    <w:bookmarkStart w:id="36" w:name="no-political-will"/>
    <w:p>
      <w:pPr>
        <w:pStyle w:val="Heading2"/>
      </w:pPr>
      <w:r>
        <w:t xml:space="preserve">No political will</w:t>
      </w:r>
    </w:p>
    <w:bookmarkEnd w:id="36"/>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7"/>
      </w:r>
      <w:r>
        <w:t xml:space="preserve"> </w:t>
      </w:r>
      <w:r>
        <w:t xml:space="preserve">The Russian miracle in social policy is overstatement, since the political will can hardly been seen in outlays in their relative numbers (Kivinen, forthcoming).</w:t>
      </w:r>
    </w:p>
    <w:bookmarkStart w:id="38" w:name="selected-priorities"/>
    <w:p>
      <w:pPr>
        <w:pStyle w:val="Heading2"/>
      </w:pPr>
      <w:r>
        <w:t xml:space="preserve">Selected priorities</w:t>
      </w:r>
    </w:p>
    <w:bookmarkEnd w:id="38"/>
    <w:p>
      <w:r>
        <w:t xml:space="preserve">Instead, state policies have been family centered and pronatalist, reinscribing maternal roles for women (Cook 2011; Rivkin-Fish 2010).</w:t>
      </w:r>
      <w:r>
        <w:rPr>
          <w:rStyle w:val="FootnoteRef"/>
        </w:rPr>
        <w:footnoteReference w:id="39"/>
      </w:r>
      <w:r>
        <w:t xml:space="preserve"> </w:t>
      </w:r>
      <w:r>
        <w:t xml:space="preserve">The underlying assumption is that addressing the demographic crisis is women’s responsibility (to have more babies), even as the crisis, as noted, is rooted in some men’s unhealthy ways of life (Jäppinen et al. 2010, 3). Emphasis on heteronormative nuclear family can be seen in many other policies as well, not least in 2011 reforms restricting abortion for the first time since Stalin. A National Family Strategy proposed in 2013 reinforces traditional family values by defining the ideal family as “a family formed by a married couple and their two or more children, or a family oriented to childbirth” (Kontseptsiia gosudarstvennoi semeinoi politiki 2013).</w:t>
      </w:r>
    </w:p>
    <w:p>
      <w:r>
        <w:t xml:space="preserve">2000-luvun alusta lähtien on valtiollisissa ohjelmissa vallinnut perhekeskeinen ideologia: perheen ja perinteisten perhearvojen suojelu on nostettu yhdeksi valtiollisen politiikan tärkeimmistä tehtävistä. Kehitys liittyy myös uuskonservatismin nousuun maassa. Perhepolitiikan tärkeimmiksi tavoitteiksi vuoteen 2025 mennessä on määritelty 1) perheiden hyvinvoinnin lisääminen, 2) perheen sosiaalisen roolin vahvistaminen yhteiskuntaelämässä ja 3) sellaisten yhteiskunnallisten olosuhteiden luominen, jossa perheet voivat täyttää keskeisiä funktioitaan. Hyvinvoivaksi perheeksi määritellään "taloudellisesti turvattu ja sosiaalisesti aktiivinen avioparin ja heidän kahden tai useamman lapsensa muodostama tai lasten synnyttämiseen orientoitunut perhe" (Kontseptsija 2013). Perhearvojen korostaminen on eittämättä kytköksissä maan väestökriisiin ja sen tavoitteena on erityisesti syntyvyyden lisääminen (Cook 2011). 2000-luvun pronatalistisen perhepolitiikan keskiössä ovat olleet nuoret, etnisesti venäläiset, heteroseksuaaliset ydinperheet ja heidän (potentiaaliset) lapsensa. Raskauden ajan palveluja on tehostettu, lapsiperhe-etuuksien tasoa nostettu ja perheitä on kannustettu lapsiluvun lisäämiseen toisesta ja sitä seuraavista lapsista maksettavalla äitiyspääomalla.</w:t>
      </w:r>
    </w:p>
    <w:p>
      <w:r>
        <w:rPr>
          <w:rStyle w:val="VerbatimChar"/>
        </w:rPr>
        <w:t xml:space="preserve">Summa summarum: national security interests --- directs social policies</w:t>
      </w:r>
    </w:p>
    <w:bookmarkStart w:id="40" w:name="no-politics-in-welfare"/>
    <w:p>
      <w:pPr>
        <w:pStyle w:val="Heading2"/>
      </w:pPr>
      <w:r>
        <w:t xml:space="preserve">No politics in welfare</w:t>
      </w:r>
    </w:p>
    <w:bookmarkEnd w:id="40"/>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
    <w:p>
      <w:pPr>
        <w:pStyle w:val="Heading2"/>
      </w:pPr>
      <w:r>
        <w:t xml:space="preserve">Citizens expectations</w:t>
      </w:r>
    </w:p>
    <w:bookmarkEnd w:id="41"/>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regional-variation"/>
    <w:p>
      <w:pPr>
        <w:pStyle w:val="Heading2"/>
      </w:pPr>
      <w:r>
        <w:t xml:space="preserve">Federalism: regional variation</w:t>
      </w:r>
    </w:p>
    <w:bookmarkEnd w:id="43"/>
    <w:p>
      <w:r>
        <w:t xml:space="preserve">More so than most observers acknowledge, Russia’s federalism matters. This is most evident when looking at social policy. According to law, the Russian federal state answers only for the general principles and national standards: social obligations were almost entirely removed by the 2006 administrative reform from the municipal level mostly to the regional level the implementation of these policies is under the responsibility of the regions, which enact regional laws to organize, manage and finance the related services and subsidies.10 The services themselves naturally take a concrete form in municipalities (Kulmala 2013, 90-92.)</w:t>
      </w:r>
    </w:p>
    <w:p>
      <w:r>
        <w:rPr>
          <w:rStyle w:val="VerbatimChar"/>
        </w:rPr>
        <w:t xml:space="preserve">Good reason to look at the lower level</w:t>
      </w:r>
    </w:p>
    <w:p>
      <w:r>
        <w:t xml:space="preserve">In this respect, the regional level again proved its importance in understanding the functioning of the three-level state in contemporary Russia.</w:t>
      </w:r>
    </w:p>
    <w:p>
      <w:pPr>
        <w:pStyle w:val="Compact"/>
        <w:numPr>
          <w:numId w:val="5"/>
          <w:ilvl w:val="0"/>
        </w:numPr>
      </w:pPr>
      <w:r>
        <w:t xml:space="preserve">Disparity between the federal policies and local circumstances</w:t>
      </w:r>
    </w:p>
    <w:p>
      <w:pPr>
        <w:pStyle w:val="Compact"/>
        <w:numPr>
          <w:numId w:val="5"/>
          <w:ilvl w:val="0"/>
        </w:numPr>
      </w:pPr>
      <w:r>
        <w:t xml:space="preserve">Scarce of resources at the local level – produce hybrid efforts</w:t>
      </w:r>
    </w:p>
    <w:p>
      <w:pPr>
        <w:pStyle w:val="Compact"/>
        <w:numPr>
          <w:numId w:val="5"/>
          <w:ilvl w:val="0"/>
        </w:numPr>
      </w:pPr>
      <w:r>
        <w:t xml:space="preserve">Even neo-liberal reforms end up resembling “Soviet” at the grassroots</w:t>
      </w:r>
    </w:p>
    <w:p>
      <w:pPr>
        <w:pStyle w:val="Compact"/>
        <w:numPr>
          <w:numId w:val="5"/>
          <w:ilvl w:val="0"/>
        </w:numPr>
      </w:pPr>
      <w:r>
        <w:t xml:space="preserve">Empirical examples – opposite logic to federal outsourcing policies – it seems to be more reliable to arrange services for citizens’ at the public sector (instead of NGO, cf. voluntary failure – Kulmala 2013) – NGOs invent social service that are to be later transferred to the state (see Kulmala 2013; Jäppinen, Johnson &amp; Kulmala 2014).</w:t>
      </w:r>
      <w:r>
        <w:br w:type="textWrapping"/>
      </w:r>
    </w:p>
    <w:p>
      <w:pPr>
        <w:pStyle w:val="Compact"/>
        <w:numPr>
          <w:numId w:val="5"/>
          <w:ilvl w:val="0"/>
        </w:numPr>
      </w:pPr>
      <w:r>
        <w:t xml:space="preserve">No clear-cut boundaries between the state-based services, NGO-based services and business involvement..</w:t>
      </w:r>
    </w:p>
    <w:bookmarkStart w:id="44" w:name="discussion"/>
    <w:p>
      <w:pPr>
        <w:pStyle w:val="Heading1"/>
      </w:pPr>
      <w:r>
        <w:t xml:space="preserve">Discussion</w:t>
      </w:r>
    </w:p>
    <w:bookmarkEnd w:id="44"/>
    <w:p>
      <w:pPr>
        <w:pStyle w:val="Compact"/>
        <w:numPr>
          <w:numId w:val="6"/>
          <w:ilvl w:val="0"/>
        </w:numPr>
      </w:pPr>
      <w:r>
        <w:t xml:space="preserve">What we need in order to understand welfare developments in Russia (or in any other context?) is multi-level and –layered analysis</w:t>
      </w:r>
    </w:p>
    <w:p>
      <w:pPr>
        <w:pStyle w:val="Compact"/>
        <w:numPr>
          <w:numId w:val="6"/>
          <w:ilvl w:val="0"/>
        </w:numPr>
      </w:pPr>
      <w:r>
        <w:t xml:space="preserve">New questions to be asked</w:t>
      </w:r>
    </w:p>
    <w:bookmarkStart w:id="45" w:name="references"/>
    <w:p>
      <w:pPr>
        <w:pStyle w:val="Heading1"/>
      </w:pPr>
      <w:r>
        <w:t xml:space="preserve">References</w:t>
      </w:r>
    </w:p>
    <w:bookmarkEnd w:id="45"/>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8">
    <w:p>
      <w:pPr>
        <w:pStyle w:val="FootnoteText"/>
      </w:pPr>
      <w:r>
        <w:rPr>
          <w:rStyle w:val="FootnoteRef"/>
        </w:rPr>
        <w:footnoteRef/>
      </w:r>
      <w:r>
        <w:t xml:space="preserve">According to Cerami (2009), it was under the executive of Medvedev when social interests became a priority for the first time, by combining strong liberalization efforts with social awareness (also Sutela 2012, 199).</w:t>
      </w:r>
    </w:p>
  </w:footnote>
  <w:footnote w:id="29">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30">
    <w:p>
      <w:pPr>
        <w:pStyle w:val="FootnoteText"/>
      </w:pPr>
      <w:r>
        <w:rPr>
          <w:rStyle w:val="FootnoteRef"/>
        </w:rPr>
        <w:footnoteRef/>
      </w:r>
      <w:r>
        <w:t xml:space="preserve">Since 2005, year 2010 presents the highest share of social expenditure of the national GDP (Korhonen 2013).</w:t>
      </w:r>
    </w:p>
  </w:footnote>
  <w:footnote w:id="32">
    <w:p>
      <w:pPr>
        <w:pStyle w:val="FootnoteText"/>
      </w:pPr>
      <w:r>
        <w:rPr>
          <w:rStyle w:val="FootnoteRef"/>
        </w:rPr>
        <w:footnoteRef/>
      </w:r>
      <w:r>
        <w:t xml:space="preserve">In 2010, for instance, a new law (N 40-FZ) on socially oriented non-commercial organizations was introduced and in 2011 followed by a presidential decree (N 713), which created state funding for certain of socially oriented NGOs to implement governmental programs. Such normative measures can be treated as a key instrument of the state’s attempt to withdraw from its previous obligations in the field of social welfare. Generally, the Russian state has largely acknowledged a need for certain types of civil society organizations, such as social service providers, that serve state interests, while the activities of others, such as human rights organizations, are being disrupted (Kulmala 2013, 126). Zdravomyslova (2005, 204) labeled such a dualism as selective corporatism.</w:t>
      </w:r>
    </w:p>
  </w:footnote>
  <w:footnote w:id="33">
    <w:p>
      <w:pPr>
        <w:pStyle w:val="FootnoteText"/>
      </w:pPr>
      <w:r>
        <w:rPr>
          <w:rStyle w:val="FootnoteRef"/>
        </w:rPr>
        <w:footnoteRef/>
      </w:r>
      <w:r>
        <w:t xml:space="preserve">For instance, the outsourcing mechanism provided by state contract preserves 15% of the whole amount of money for NGOs and small business. (Kulmala &amp; Tarasenko 2014).</w:t>
      </w:r>
    </w:p>
  </w:footnote>
  <w:footnote w:id="34">
    <w:p>
      <w:pPr>
        <w:pStyle w:val="FootnoteText"/>
      </w:pPr>
      <w:r>
        <w:rPr>
          <w:rStyle w:val="FootnoteRef"/>
        </w:rPr>
        <w:footnoteRef/>
      </w:r>
      <w:r>
        <w:t xml:space="preserve">For instance, September 29, 2013 the television Channel 1 accomplished unprecedented television marathon “Vsem mirom” aiming at involving Russian citizens and their organizations into charity activity to support people who were injured in the massive floods in the Far East of Russia. “Vsem mirom” proved to be successful: as a result of this one-day project nearly 20 million euros (almost 830 million rubles) were collected to resolve the problems that clearly would belong to the state structures. (See more in Kulmala &amp; Tarasenko 2014.)</w:t>
      </w:r>
    </w:p>
  </w:footnote>
  <w:footnote w:id="37">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9">
    <w:p>
      <w:pPr>
        <w:pStyle w:val="FootnoteText"/>
      </w:pPr>
      <w:r>
        <w:rPr>
          <w:rStyle w:val="FootnoteRef"/>
        </w:rPr>
        <w:footnoteRef/>
      </w:r>
      <w:r>
        <w:t xml:space="preserve">The only possible gender-equality promoting reform is a 2003 law criminalizing the trafficking in persons, passed early in Putin’s reign, under threat of U.S. sanctions, but this too was framed as one of protecting women much more than assuring women’s rights (Johnson 2009; 2013).</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s>
</file>

<file path=word/numbering.xml><?xml version="1.0" encoding="utf-8"?>
<w:numbering xmlns:w="http://schemas.openxmlformats.org/wordprocessingml/2006/main">
  <w:abstractNum w:abstractNumId="0">
    <w:nsid w:val="ae3d5e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ebc04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Oscillating between statism and neo-liberalism: welfare paradoxes in Russia</dc:title>
  <dc:creator>Kainu Markus; Kivinen Markku; Kulmala Meri; Nikula Jouko</dc:creator>
</cp:coreProperties>
</file>