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p/>
    <w:p/>
    <w:p/>
    <w:p/>
    <w:p/>
    <w:p>
      <w:r>
        <w:rPr>
          <w:b/>
        </w:rPr>
        <w:t xml:space="preserve">Abstract</w:t>
      </w:r>
      <w:r>
        <w:t xml:space="preserve">:</w:t>
      </w:r>
    </w:p>
    <w:p>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p>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4330700" cy="5054600"/>
            <wp:effectExtent b="0" l="0" r="0" t="0"/>
            <wp:docPr descr="" id="1" name="Picture"/>
            <a:graphic>
              <a:graphicData uri="http://schemas.openxmlformats.org/drawingml/2006/picture">
                <pic:pic>
                  <pic:nvPicPr>
                    <pic:cNvPr descr="figure/macroplot0.png" id="0" name="Picture"/>
                    <pic:cNvPicPr>
                      <a:picLocks noChangeArrowheads="1" noChangeAspect="1"/>
                    </pic:cNvPicPr>
                  </pic:nvPicPr>
                  <pic:blipFill>
                    <a:blip r:embed="rId23"/>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Human deveplopment index and GDP per capita</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28" w:name="challenging-the-conventional-stories"/>
    <w:p>
      <w:pPr>
        <w:pStyle w:val="Heading1"/>
      </w:pPr>
      <w:r>
        <w:t xml:space="preserve">Challenging the conventional stories</w:t>
      </w:r>
    </w:p>
    <w:bookmarkEnd w:id="28"/>
    <w:bookmarkStart w:id="29" w:name="financing-the-welfare-system"/>
    <w:p>
      <w:pPr>
        <w:pStyle w:val="Heading2"/>
      </w:pPr>
      <w:r>
        <w:t xml:space="preserve">Financing the welfare system</w:t>
      </w:r>
    </w:p>
    <w:bookmarkEnd w:id="29"/>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Source: De Silva et al. (2009)."/>
      </w:tblPr>
      <w:tblGrid>
        <w:gridCol w:w="1760"/>
        <w:gridCol w:w="1100"/>
        <w:gridCol w:w="1100"/>
        <w:gridCol w:w="550"/>
      </w:tblGrid>
      <w:tr>
        <w:tc>
          <w:tcPr>
            <w:tcBorders>
              <w:bottom w:val="single"/>
            </w:tcBorders>
            <w:vAlign w:val="bottom"/>
          </w:tcPr>
          <w:p/>
        </w:tc>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r>
        <w:t xml:space="preserve"> </w:t>
      </w:r>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4330700" cy="5054600"/>
            <wp:effectExtent b="0" l="0" r="0" t="0"/>
            <wp:docPr descr="" id="1" name="Picture"/>
            <a:graphic>
              <a:graphicData uri="http://schemas.openxmlformats.org/drawingml/2006/picture">
                <pic:pic>
                  <pic:nvPicPr>
                    <pic:cNvPr descr="figure/macroplot2.png" id="0" name="Picture"/>
                    <pic:cNvPicPr>
                      <a:picLocks noChangeArrowheads="1" noChangeAspect="1"/>
                    </pic:cNvPicPr>
                  </pic:nvPicPr>
                  <pic:blipFill>
                    <a:blip r:embed="rId30"/>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1992–2012</w:t>
      </w:r>
      <w:r>
        <w:t xml:space="preserve"> </w:t>
      </w:r>
      <w:r>
        <w:rPr>
          <w:i/>
        </w:rPr>
        <w:t xml:space="preserve">Source: Rosstat 2013</w:t>
      </w:r>
    </w:p>
    <w:p>
      <w:r>
        <w:drawing>
          <wp:inline>
            <wp:extent cx="4330700" cy="5054600"/>
            <wp:effectExtent b="0" l="0" r="0" t="0"/>
            <wp:docPr descr="" id="1" name="Picture"/>
            <a:graphic>
              <a:graphicData uri="http://schemas.openxmlformats.org/drawingml/2006/picture">
                <pic:pic>
                  <pic:nvPicPr>
                    <pic:cNvPr descr="figure/macroplot1.png" id="0" name="Picture"/>
                    <pic:cNvPicPr>
                      <a:picLocks noChangeArrowheads="1" noChangeAspect="1"/>
                    </pic:cNvPicPr>
                  </pic:nvPicPr>
                  <pic:blipFill>
                    <a:blip r:embed="rId31"/>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2013</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bookmarkStart w:id="32" w:name="no-political-will"/>
    <w:p>
      <w:pPr>
        <w:pStyle w:val="Heading2"/>
      </w:pPr>
      <w:r>
        <w:t xml:space="preserve">No political will</w:t>
      </w:r>
    </w:p>
    <w:bookmarkEnd w:id="32"/>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3"/>
      </w:r>
      <w:r>
        <w:t xml:space="preserve"> </w:t>
      </w:r>
      <w:r>
        <w:t xml:space="preserve">The Russian miracle in social policy is overstatement, since the political will can hardly been seen in outlays in their relative numbers (Kivinen, forthcoming).))</w:t>
      </w:r>
    </w:p>
    <w:bookmarkStart w:id="34" w:name="selected-priorities"/>
    <w:p>
      <w:pPr>
        <w:pStyle w:val="Heading2"/>
      </w:pPr>
      <w:r>
        <w:t xml:space="preserve">Selected priorities</w:t>
      </w:r>
    </w:p>
    <w:bookmarkEnd w:id="34"/>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
      </w:r>
    </w:p>
    <w:p>
      <w:r>
        <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 ,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37" w:name="no-politics-in-welfare"/>
    <w:p>
      <w:pPr>
        <w:pStyle w:val="Heading2"/>
      </w:pPr>
      <w:r>
        <w:t xml:space="preserve">No politics in welfare</w:t>
      </w:r>
    </w:p>
    <w:bookmarkEnd w:id="37"/>
    <w:bookmarkStart w:id="38" w:name="the-yeltsin-reforms"/>
    <w:p>
      <w:pPr>
        <w:pStyle w:val="Heading3"/>
      </w:pPr>
      <w:r>
        <w:t xml:space="preserve">The Yeltsin reforms</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(2012,240),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(2012, 241)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 ea 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(2012,12).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(2012, 270)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3"/>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levels.(Maltseva 2012, 336) The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(Maltseva 2012, 286-288)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 (Maltseva 2012, 292)</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238)</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 Chernova, Zhanna (2010): Molodaia sem'ia kak ob'ekt / sub'ekt semenoi politiki. Polit.ru, 30 November 2010. http://polit.ru/article/2010/11/30/family/</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 = Materinskii kapital stanet polnost'iu zhilischnym. Johnson, Janet E., and Aino Saarinen. 2011. “Assessing Civil Society in Putin’s Russia: The Plight of Women’s Crisis Centers.” Communist and Post-Communist Studies 44 (1): 41–52.</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Gazing at Welfare, Gender and Agency in Post-socialist Countries. Ed. by Maija Jäppinen, Meri Kulmala &amp; Aino Saarinen. Cmabridge Scholars Publishing.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&amp; Tarsenko, Anna (forthcoming 2015): The New Old-fashioned? Russian Veterans' Oorganizations at the Crossroads of Social Services and Social Aadvocacy. An article manuscript. In Authoritarian Modernization in Post-Soviet Russia: Dilemmas, Challenges, and Constraints. Ed. by Vladimir Gel'man. Forthcoming in 2015.</w:t>
      </w:r>
      <w:r>
        <w:br w:type="textWrapping"/>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3">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748c69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1a1a3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