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r>
        <w:rPr>
          <w:b/>
        </w:rPr>
        <w:t xml:space="preserve">abstract</w:t>
      </w:r>
      <w:r>
        <w:t xml:space="preserve">:</w:t>
      </w:r>
    </w:p>
    <w:p>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figure/eka_kuva.png" id="0" name="Picture"/>
                    <pic:cNvPicPr>
                      <a:picLocks noChangeArrowheads="1" noChangeAspect="1"/>
                    </pic:cNvPicPr>
                  </pic:nvPicPr>
                  <pic:blipFill>
                    <a:blip r:embed="rId23"/>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w:tblPr>
      <w:tblGrid/>
      <w:tr>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p>
    <w:p>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10160000" cy="7620000"/>
            <wp:effectExtent b="0" l="0" r="0" t="0"/>
            <wp:docPr descr="" id="1" name="Picture"/>
            <a:graphic>
              <a:graphicData uri="http://schemas.openxmlformats.org/drawingml/2006/picture">
                <pic:pic>
                  <pic:nvPicPr>
                    <pic:cNvPr descr="figure/kuva_markku1.png" id="0" name="Picture"/>
                    <pic:cNvPicPr>
                      <a:picLocks noChangeArrowheads="1" noChangeAspect="1"/>
                    </pic:cNvPicPr>
                  </pic:nvPicPr>
                  <pic:blipFill>
                    <a:blip r:embed="rId30"/>
                    <a:stretch>
                      <a:fillRect/>
                    </a:stretch>
                  </pic:blipFill>
                  <pic:spPr bwMode="auto">
                    <a:xfrm>
                      <a:off x="0" y="0"/>
                      <a:ext cx="10160000" cy="76200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1992–2010</w:t>
      </w:r>
    </w:p>
    <w:p>
      <w:r>
        <w:rPr>
          <w:i/>
        </w:rPr>
        <w:t xml:space="preserve">Source: Rosstat 2012</w:t>
      </w:r>
    </w:p>
    <w:p>
      <w:r>
        <w:drawing>
          <wp:inline>
            <wp:extent cx="10160000" cy="9207500"/>
            <wp:effectExtent b="0" l="0" r="0" t="0"/>
            <wp:docPr descr="" id="1" name="Picture"/>
            <a:graphic>
              <a:graphicData uri="http://schemas.openxmlformats.org/drawingml/2006/picture">
                <pic:pic>
                  <pic:nvPicPr>
                    <pic:cNvPr descr="figure/kuva_markku2.png" id="0" name="Picture"/>
                    <pic:cNvPicPr>
                      <a:picLocks noChangeArrowheads="1" noChangeAspect="1"/>
                    </pic:cNvPicPr>
                  </pic:nvPicPr>
                  <pic:blipFill>
                    <a:blip r:embed="rId31"/>
                    <a:stretch>
                      <a:fillRect/>
                    </a:stretch>
                  </pic:blipFill>
                  <pic:spPr bwMode="auto">
                    <a:xfrm>
                      <a:off x="0" y="0"/>
                      <a:ext cx="10160000" cy="92075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p>
    <w:p>
      <w:r>
        <w:rPr>
          <w:i/>
        </w:rPr>
        <w:t xml:space="preserve">Source: Rosstat 2012</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measures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2"/>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 According to Maltseva the benefit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w:t>
      </w:r>
    </w:p>
    <w:bookmarkStart w:id="40" w:name="no-organized-interest-representation"/>
    <w:p>
      <w:pPr>
        <w:pStyle w:val="Heading3"/>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p>
      <w:r>
        <w:rPr>
          <w:i/>
        </w:rPr>
        <w:t xml:space="preserve">Source: Levada Center 2014</w:t>
      </w:r>
    </w:p>
    <w:p>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2010</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Maija Jäppinen et al., ed., Gazing at Welfare, Gender and Agency in Post-socialist Countries.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Russian Society. In: Russia of Challenges, Helsinki, Ministry of Defence 2007, 9–31.</w:t>
      </w:r>
    </w:p>
    <w:p>
      <w:pPr>
        <w:pStyle w:val="Compact"/>
        <w:numPr>
          <w:numId w:val="6"/>
          <w:ilvl w:val="0"/>
        </w:numPr>
      </w:pPr>
      <w:r>
        <w:t xml:space="preserve">Kulmala, Meri &amp; Tarsenko, Anna (forthcoming 2015): THE NEW OLD-FASHIONED?RUSSIAN VETERANS’ ORGANIZATIONS AT THE CROSSROADS OFSOCIAL SERVICES AND SOCIAL ADVOCACY.</w:t>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2012</w:t>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25ce51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e749e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