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28,</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5"/>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6" w:name="conventional-storyline-from-shock-therapy-to-state-led-welfare-miracle"/>
    <w:p>
      <w:pPr>
        <w:pStyle w:val="Heading1"/>
      </w:pPr>
      <w:r>
        <w:t xml:space="preserve">“Conventional storyline”: from shock therapy to state-led “welfare miracle”</w:t>
      </w:r>
    </w:p>
    <w:bookmarkEnd w:id="26"/>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7"/>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8"/>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9"/>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30" w:name="challenging-the-conventional-stories"/>
    <w:p>
      <w:pPr>
        <w:pStyle w:val="Heading1"/>
      </w:pPr>
      <w:r>
        <w:t xml:space="preserve">Challenging the conventional stories</w:t>
      </w:r>
    </w:p>
    <w:bookmarkEnd w:id="30"/>
    <w:bookmarkStart w:id="31" w:name="financing-the-welfare-system"/>
    <w:p>
      <w:pPr>
        <w:pStyle w:val="Heading2"/>
      </w:pPr>
      <w:r>
        <w:t xml:space="preserve">Financing the welfare system</w:t>
      </w:r>
    </w:p>
    <w:bookmarkEnd w:id="31"/>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http://russianmodernisation.fi/filemanager/files/demokratizatsiya/kuva_markku1.png" id="0" name="Picture"/>
                    <pic:cNvPicPr>
                      <a:picLocks noChangeArrowheads="1" noChangeAspect="1"/>
                    </pic:cNvPicPr>
                  </pic:nvPicPr>
                  <pic:blipFill>
                    <a:blip r:embed="rId34"/>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http://russianmodernisation.fi/filemanager/files/demokratizatsiya/kuva_markku2.png" id="0" name="Picture"/>
                    <pic:cNvPicPr>
                      <a:picLocks noChangeArrowheads="1" noChangeAspect="1"/>
                    </pic:cNvPicPr>
                  </pic:nvPicPr>
                  <pic:blipFill>
                    <a:blip r:embed="rId37"/>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8" w:name="no-political-will"/>
    <w:p>
      <w:pPr>
        <w:pStyle w:val="Heading2"/>
      </w:pPr>
      <w:r>
        <w:t xml:space="preserve">No political will</w:t>
      </w:r>
    </w:p>
    <w:bookmarkEnd w:id="38"/>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9"/>
      </w:r>
      <w:r>
        <w:t xml:space="preserve"> </w:t>
      </w:r>
      <w:r>
        <w:t xml:space="preserve">The Russian miracle in social policy is overstatement, since the political will can hardly been seen in outlays in their relative numbers (Kivinen, forthcoming).))</w:t>
      </w:r>
    </w:p>
    <w:bookmarkStart w:id="40" w:name="selected-priorities"/>
    <w:p>
      <w:pPr>
        <w:pStyle w:val="Heading2"/>
      </w:pPr>
      <w:r>
        <w:t xml:space="preserve">Selected priorities</w:t>
      </w:r>
    </w:p>
    <w:bookmarkEnd w:id="40"/>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41"/>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w:t>
      </w:r>
      <w:r>
        <w:br w:type="textWrapping"/>
      </w:r>
      <w:r>
        <w:t xml:space="preserve"> </w:t>
      </w:r>
      <w:r>
        <w:t xml:space="preserve">,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42"/>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43" w:name="no-politics-in-welfare"/>
    <w:p>
      <w:pPr>
        <w:pStyle w:val="Heading2"/>
      </w:pPr>
      <w:r>
        <w:t xml:space="preserve">No politics in welfare</w:t>
      </w:r>
    </w:p>
    <w:bookmarkEnd w:id="43"/>
    <w:bookmarkStart w:id="44" w:name="the-yeltsin-reforms"/>
    <w:p>
      <w:pPr>
        <w:pStyle w:val="Heading3"/>
      </w:pPr>
      <w:r>
        <w:t xml:space="preserve">The Yeltsin reforms</w:t>
      </w:r>
    </w:p>
    <w:bookmarkEnd w:id="44"/>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45" w:name="putins-reforms-of-welfare"/>
    <w:p>
      <w:pPr>
        <w:pStyle w:val="Heading2"/>
      </w:pPr>
      <w:r>
        <w:t xml:space="preserve">Putin’s reforms of welfare</w:t>
      </w:r>
    </w:p>
    <w:bookmarkEnd w:id="45"/>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6" w:name="no-organized-interest-representation"/>
    <w:p>
      <w:pPr>
        <w:pStyle w:val="Heading3"/>
      </w:pPr>
      <w:r>
        <w:t xml:space="preserve">No organized interest representation</w:t>
      </w:r>
    </w:p>
    <w:bookmarkEnd w:id="46"/>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7" w:name="citizens-expectations-on-welfare"/>
    <w:p>
      <w:pPr>
        <w:pStyle w:val="Heading3"/>
      </w:pPr>
      <w:r>
        <w:t xml:space="preserve">Citizens’ expectations on welfare</w:t>
      </w:r>
    </w:p>
    <w:bookmarkEnd w:id="47"/>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8"/>
      </w:r>
    </w:p>
    <w:bookmarkStart w:id="49" w:name="federalism-matters"/>
    <w:p>
      <w:pPr>
        <w:pStyle w:val="Heading2"/>
      </w:pPr>
      <w:r>
        <w:t xml:space="preserve">Federalism matters</w:t>
      </w:r>
    </w:p>
    <w:bookmarkEnd w:id="49"/>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50"/>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51"/>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52"/>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53" w:name="federal-policies-and-local-impossibilities"/>
    <w:p>
      <w:pPr>
        <w:pStyle w:val="Heading3"/>
      </w:pPr>
      <w:r>
        <w:t xml:space="preserve">Federal policies and local (im)possibilities</w:t>
      </w:r>
    </w:p>
    <w:bookmarkEnd w:id="53"/>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54"/>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55" w:name="discussion"/>
    <w:p>
      <w:pPr>
        <w:pStyle w:val="Heading1"/>
      </w:pPr>
      <w:r>
        <w:t xml:space="preserve">Discussion</w:t>
      </w:r>
    </w:p>
    <w:bookmarkEnd w:id="55"/>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6" w:name="references"/>
    <w:p>
      <w:pPr>
        <w:pStyle w:val="Heading1"/>
      </w:pPr>
      <w:r>
        <w:t xml:space="preserve">References</w:t>
      </w:r>
    </w:p>
    <w:bookmarkEnd w:id="56"/>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9">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41">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42">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8">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50">
    <w:p>
      <w:pPr>
        <w:pStyle w:val="FootnoteText"/>
      </w:pPr>
      <w:r>
        <w:rPr>
          <w:rStyle w:val="FootnoteRef"/>
        </w:rPr>
        <w:footnoteRef/>
      </w:r>
      <w:r>
        <w:t xml:space="preserve">See details in Health Systems in Transition (2003); Cook (2007).</w:t>
      </w:r>
    </w:p>
  </w:footnote>
  <w:footnote w:id="51">
    <w:p>
      <w:pPr>
        <w:pStyle w:val="FootnoteText"/>
      </w:pPr>
      <w:r>
        <w:rPr>
          <w:rStyle w:val="FootnoteRef"/>
        </w:rPr>
        <w:footnoteRef/>
      </w:r>
      <w:r>
        <w:t xml:space="preserve">See for concrete examples of such organizations in Kulmala 2013, 90-92).</w:t>
      </w:r>
    </w:p>
  </w:footnote>
  <w:footnote w:id="52">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54">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263176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0cc1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2014-04-28</dcterms:created>
  <dcterms:modified xsi:type="dcterms:W3CDTF">2014-04-28</dcterms:modified>
</cp:coreProperties>
</file>