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May,</w:t>
      </w:r>
      <w:r>
        <w:t xml:space="preserve"> </w:t>
      </w:r>
      <w:r>
        <w:t xml:space="preserve">7,</w:t>
      </w:r>
      <w:r>
        <w:t xml:space="preserve"> </w:t>
      </w:r>
      <w:r>
        <w:t xml:space="preserve">2014</w:t>
      </w:r>
    </w:p>
    <w:p/>
    <w:p/>
    <w:p/>
    <w:p/>
    <w:p/>
    <w:p/>
    <w:p>
      <w:r>
        <w:rPr>
          <w:b/>
        </w:rPr>
        <w:t xml:space="preserve">Abstract</w:t>
      </w:r>
      <w:r>
        <w:t xml:space="preserve">:</w:t>
      </w:r>
      <w:r>
        <w:t xml:space="preserve"> </w:t>
      </w:r>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r>
        <w:t xml:space="preserve"> </w:t>
      </w:r>
      <w:r>
        <w:t xml:space="preserve">TÄMÄ SIIS KIRJOITETTAVA UUSIKSI</w:t>
      </w:r>
      <w:r>
        <w:t xml:space="preserve"> </w:t>
      </w:r>
    </w:p>
    <w:p/>
    <w:p>
      <w:r>
        <w:t xml:space="preserve"> </w:t>
      </w:r>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citizens has been one of the primary targets of the budget surplus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and the welfare state was an important part of Putin’s promises as he moved to reclaim the presidency in 2011 (Jäppinen, Johnson &amp; Kulmala 2014).</w:t>
      </w:r>
    </w:p>
    <w:p>
      <w:r>
        <w:t xml:space="preserve">In sum, what we have seen since 2005 is welfare related questions taking top position on the agenda of the Russian federal government with some concrete investments in welfare. At the same time, poverty rates have considerably declined and inequality stabilized (Kivinen, forthcoming). Yet, the overall picture does not look that promising that one would assume after such substantial attention.</w:t>
      </w:r>
    </w:p>
    <w:p>
      <w:r>
        <w:drawing>
          <wp:inline>
            <wp:extent cx="9169400" cy="5499100"/>
            <wp:effectExtent b="0" l="0" r="0" t="0"/>
            <wp:docPr descr="" id="1" name="Picture"/>
            <a:graphic>
              <a:graphicData uri="http://schemas.openxmlformats.org/drawingml/2006/picture">
                <pic:pic>
                  <pic:nvPicPr>
                    <pic:cNvPr descr="figure/gdp_life.png" id="0" name="Picture"/>
                    <pic:cNvPicPr>
                      <a:picLocks noChangeArrowheads="1" noChangeAspect="1"/>
                    </pic:cNvPicPr>
                  </pic:nvPicPr>
                  <pic:blipFill>
                    <a:blip r:embed="rId23"/>
                    <a:stretch>
                      <a:fillRect/>
                    </a:stretch>
                  </pic:blipFill>
                  <pic:spPr bwMode="auto">
                    <a:xfrm>
                      <a:off x="0" y="0"/>
                      <a:ext cx="9169400" cy="5499100"/>
                    </a:xfrm>
                    <a:prstGeom prst="rect">
                      <a:avLst/>
                    </a:prstGeom>
                    <a:noFill/>
                    <a:ln w="9525">
                      <a:noFill/>
                      <a:headEnd/>
                      <a:tailEnd/>
                    </a:ln>
                  </pic:spPr>
                </pic:pic>
              </a:graphicData>
            </a:graphic>
          </wp:inline>
        </w:drawing>
      </w:r>
    </w:p>
    <w:p>
      <w:pPr>
        <w:pStyle w:val="ImageCaption"/>
      </w:pPr>
      <w:r>
        <w:t xml:space="preserve">Gross Domestic Product and life expectancy for female and male in selected countries in 1990 - 2012 (Source: World Bank)</w:t>
      </w:r>
    </w:p>
    <w:p>
      <w:r>
        <w:t xml:space="preserve">"In this article, we discuss what are the major reasons that would explain why the situation has not improved as one could have expected. In our discussion, we pay special attention to the questions concerning the relationship between the political regime(s) in the country and welfare arrangements. Since 1991, while adopting Western - often (neo)liberal welfare policies, Russian governments have relied on mixes of surviving Soviet practices and ad hoc measures at the same time. In this article, we show that the sometimes controversial or even paradoxical tendencies in welfare efforts of the the Russian state becomes to a large extent explained by the weakness of democratic agency. We do not deny the evident improvements in quality of life that has been truly experienced by citizens which in turn gives legitimacy for the Putin administration. Yet, we argue that the situation has not led to any comprehensive or coherent welfare policies in the country. Such policy-making and consequent welfare resolutions would require democratic agency. After having said that, as we will show, we do not claim that such agency would be completely lacking in the Russian context. Instead, one can see incidents where people's agency really mattered. Though, also in those cases, eventual outcomes might have been again highly paradoxical. All in all, we claim that to establish a more comprehensive understanding of the Russian welfare policies requires multilevel analysis which in parallel with the consideration of the structural factors brings in agency (and/or lack of agency). Moreover, we claim that the investigation of the federal level social policies is to be linked to the solutions at the regional level, where most responsibilities of the social policies lie and thus become implemented, and importantly to actual practices at the local level, where many of the upper-level policies take their concrete form.</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showing 1) that no "welfare miracle" took place in budgetary terms and 2) that the welfare rhetoric and actual welfare polices have not been consistent to one another. We also show 3) that the welfare efforts of the Putin administration has been targeted to narrowly selected priorities which 4) merely serve the state interest instead of citizens' welfare concerns which 5) is to be treated as an evidence of the lack of democratic agency in the field of welfare policies. However, we also illustrate 6) that there are also positive developments happening - mainly at the level of the regions of Russia, which is why we 7) claim that in the Russian context once should gaze to the regional (and local) level to seek possible agencies and resolutions in there rather than purely focus on the central government and its policies. Simultaneously, however, we show 8) that there are serious discrepancies between the federal policies and local circumstances, which largely contribute to the overall paradoxical situation."</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2009b,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(2009b,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2009b, 113-114; Kivinen, forthcoming; Sutela 2012); that is to say, during and after the world-wide economic crisis. (See also Jäppinen, Johnson &amp; Kulmala 2014.) Cerami (2009b)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currently nation-wide “Grandma and grandpa online” program that was initiated by a Saint Petersburg based veterans' and pensioners' NGO.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Russian welfare-mix is much more complicated. The lack of democratic policy-making cases unsolved problems and paradoxes.</w:t>
      </w:r>
    </w:p>
    <w:bookmarkStart w:id="28" w:name="challenging-the-conventional-stories"/>
    <w:p>
      <w:pPr>
        <w:pStyle w:val="Heading1"/>
      </w:pPr>
      <w:r>
        <w:t xml:space="preserve">Challenging the conventional stories</w:t>
      </w:r>
    </w:p>
    <w:bookmarkEnd w:id="28"/>
    <w:bookmarkStart w:id="29" w:name="no-political-will-in-financing-the-welfare-system"/>
    <w:p>
      <w:pPr>
        <w:pStyle w:val="Heading2"/>
      </w:pPr>
      <w:r>
        <w:t xml:space="preserve">No political will in financing the welfare system</w:t>
      </w:r>
    </w:p>
    <w:bookmarkEnd w:id="29"/>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Source: De Silva et al. (2009)."/>
      </w:tblPr>
      <w:tblGrid>
        <w:gridCol w:w="1760"/>
        <w:gridCol w:w="1100"/>
        <w:gridCol w:w="1100"/>
        <w:gridCol w:w="550"/>
      </w:tblGrid>
      <w:tr>
        <w:tc>
          <w:tcPr>
            <w:tcBorders>
              <w:bottom w:val="single"/>
            </w:tcBorders>
            <w:vAlign w:val="bottom"/>
          </w:tcPr>
          <w:p/>
        </w:tc>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r>
        <w:t xml:space="preserve"> </w:t>
      </w:r>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4330700" cy="5054600"/>
            <wp:effectExtent b="0" l="0" r="0" t="0"/>
            <wp:docPr descr="" id="1" name="Picture"/>
            <a:graphic>
              <a:graphicData uri="http://schemas.openxmlformats.org/drawingml/2006/picture">
                <pic:pic>
                  <pic:nvPicPr>
                    <pic:cNvPr descr="figure/macroplot2.png" id="0" name="Picture"/>
                    <pic:cNvPicPr>
                      <a:picLocks noChangeArrowheads="1" noChangeAspect="1"/>
                    </pic:cNvPicPr>
                  </pic:nvPicPr>
                  <pic:blipFill>
                    <a:blip r:embed="rId30"/>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1992–2012</w:t>
      </w:r>
      <w:r>
        <w:t xml:space="preserve"> </w:t>
      </w:r>
      <w:r>
        <w:rPr>
          <w:i/>
        </w:rPr>
        <w:t xml:space="preserve">Source: Rosstat 2013</w:t>
      </w:r>
    </w:p>
    <w:p>
      <w:r>
        <w:drawing>
          <wp:inline>
            <wp:extent cx="4330700" cy="5054600"/>
            <wp:effectExtent b="0" l="0" r="0" t="0"/>
            <wp:docPr descr="" id="1" name="Picture"/>
            <a:graphic>
              <a:graphicData uri="http://schemas.openxmlformats.org/drawingml/2006/picture">
                <pic:pic>
                  <pic:nvPicPr>
                    <pic:cNvPr descr="figure/macroplot1.png" id="0" name="Picture"/>
                    <pic:cNvPicPr>
                      <a:picLocks noChangeArrowheads="1" noChangeAspect="1"/>
                    </pic:cNvPicPr>
                  </pic:nvPicPr>
                  <pic:blipFill>
                    <a:blip r:embed="rId31"/>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r>
        <w:t xml:space="preserve"> </w:t>
      </w:r>
      <w:r>
        <w:rPr>
          <w:i/>
        </w:rPr>
        <w:t xml:space="preserve">Source: Rosstat 2013</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2"/>
      </w:r>
      <w:r>
        <w:t xml:space="preserve"> </w:t>
      </w:r>
      <w:r>
        <w:t xml:space="preserve">The Russian miracle in social policy is overstatement, since the political will can hardly been seen in outlays in their relative numbers (Kivinen, forthcoming).))</w:t>
      </w:r>
    </w:p>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constellation. On the other hand, raising living standards - which people have experienced in real terms - and creating order out of the chaos of the 1990s help to legitimise the contemporary political elite in Russia in the eyes of the ordinary people (cf. Chandler 2013). Yet, in practice, the major welfare policies have touched upon a highly selected groups of people.</w:t>
      </w:r>
    </w:p>
    <w:bookmarkStart w:id="33" w:name="top-priority-the-birth-rate"/>
    <w:p>
      <w:pPr>
        <w:pStyle w:val="Heading2"/>
      </w:pPr>
      <w:r>
        <w:t xml:space="preserve">Top priority: the birth rate</w:t>
      </w:r>
    </w:p>
    <w:bookmarkEnd w:id="33"/>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w:t>
      </w:r>
      <w:r>
        <w:rPr>
          <w:rStyle w:val="FootnoteRef"/>
        </w:rPr>
        <w:footnoteReference w:id="34"/>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w:t>
      </w:r>
    </w:p>
    <w:p>
      <w:r>
        <w:t xml:space="preserve">In addition to this rather narrow priority of the state efforts in the field, Russian families become defined in a highly narrow and conservative manner in these recent family policies. Highly normative understanding of well-functioning families prevails.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these policies reinscribe exclusively maternal roles for Russian women and nothing is said about changing the gendered structures within the family (Saarinen 2012, 239, 244)</w:t>
      </w:r>
    </w:p>
    <w:p>
      <w:r>
        <w:t xml:space="preserve">Paradoxically, the underlying assumption is that addressing the demographic crisis is women’s responsibility (to have more babies),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 TOINEN PARARODXI: "HEALTH"-OHJELMA ON SOSIAALIPOLITIIKKAA, EI TERVEYTTÄ</w:t>
      </w:r>
    </w:p>
    <w:p>
      <w:r>
        <w:t xml:space="preserve">Huom! Myös äitiyden tukeminen yms on niitä alueita, jonne NGOt saa rahaa… SIIRRÄ ALAVIITTEKSI JONNEKIN</w:t>
      </w:r>
    </w:p>
    <w:p>
      <w:r>
        <w:t xml:space="preserve">In sum, the top priority has been to increase the birth rate through several kinds of maternity and family benefits. Yet, in addition to reforms in the field of family policy, also pensions and salariens of the public sector workers have been raised. Unlike the maternity support, the former improvements concern large groups of Russian citizens. Yet, one needs to understand that --- BKT:N myötä, ei sen enempää ---&gt; toki ihmiset ovat kiinnostuneita kokemuksellisesta muutoksesta eikä budjettikategorioista --&gt; legitimiteetti</w:t>
      </w:r>
    </w:p>
    <w:bookmarkStart w:id="37" w:name="no-politics-in-welfare"/>
    <w:p>
      <w:pPr>
        <w:pStyle w:val="Heading2"/>
      </w:pPr>
      <w:r>
        <w:t xml:space="preserve">No politics in welfare</w:t>
      </w:r>
    </w:p>
    <w:bookmarkEnd w:id="37"/>
    <w:bookmarkStart w:id="38" w:name="loosing-the-role-of-the-electoral-system"/>
    <w:p>
      <w:pPr>
        <w:pStyle w:val="Heading3"/>
      </w:pPr>
      <w:r>
        <w:t xml:space="preserve">Loosing the role of the electoral system</w:t>
      </w:r>
    </w:p>
    <w:bookmarkEnd w:id="38"/>
    <w:p>
      <w:r>
        <w:t xml:space="preserve">The final years of Soviet Union and the early years of post-socialist Russia were characterized not only by constant economic turmoil, rapidly eroding well-being of population and efforts to reform the economy but also by upsurge of political parties, trade unions and social movements . The government was maneuvering between demands of western economic institutions and domestic popular protests and political forces and Yeltsin’s administration was also incarcerated by the regional governors, who had been granted very large autonomy in first years of transition. On the other side was the necessity to make radical reforms in order to prevent complete collapse of the Russian economy. This resulted in number of haphazard efforts to reform and concessions to regional authorities. These nurtured informal negotiations and relationships between the government and regional governors and eventual undermining of institutional mechanisms of control and even the legitimacy of federal government in the eyes of regional governors. (Maltseva 2012, 241). The consequences of the neo-liberal reforms instigated growing protests among the political parties in the parliament and led to unprecedented unity across the political spectrum – from Communist party to Union of Industrialists. In the mid-1990’s the conflict between the executive power and the Duma, supported by the welfare bureaucracy, paralyzed the welfare state reform. (Cook 2011, 16) In 1996, the threat of losing Presidential elections forced Yeltsin to slow down the economic reform and distance himself from the Gaidar’s reform group. Even if Yeltsin rejected Zyuganov’s demand to restore the price controls of wages and prices, “ he embraced many elements of the Communists’ social welfare program”. (Maltseva 2012, 261) The government raised pensions and wages and reduced the wage arrears. In a way then, one could say that Yeltsin bought his victory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Later the government made efforts to reverse some of the previous decisions in welfare reform in order to mitigate social and economic consequences of looming economic crises during 1997-1998. Among the proposals were cuts in the spending and measures to cut back the Soviet-era welfare benefits. However, all efforts were rejected by the Duma. Summing up the Yeltsin period, one can argue that paradoxically the efforts of Yeltsin’s administration to carry out at least seemingly democratic reforms of economy and polity resulted into highly undemocratic system of governance where national and regional oligarchs dominated over democratic control.</w:t>
      </w:r>
    </w:p>
    <w:bookmarkStart w:id="39" w:name="putins-reforms-of-welfare"/>
    <w:p>
      <w:pPr>
        <w:pStyle w:val="Heading3"/>
      </w:pPr>
      <w:r>
        <w:t xml:space="preserve">Putin’s reforms of welfare</w:t>
      </w:r>
    </w:p>
    <w:bookmarkEnd w:id="39"/>
    <w:p>
      <w:r>
        <w:t xml:space="preserve">In December 1999 when Yeltsin resigned and handed over the Presidency to Vladimir Putin, the Russian economy was completely decentralized and the state had lost central authority. The shares-for-power –scheme had given the oligarchs not only huge shares of productive capital of the country, but also a control over the power institutions. At that time Putin published an article "Russia at the turn of the millennium” where he defined the consolidation of Russia's society as first priority because “the fruitful and creative work is impossible in a divided and internally atomized society”. In his opinion internal unity was possible only through a democratic and law-based strong federal state. The creation of national unity began with a creation of a political party Edinstvo in 1999 to counteract the role Fatherland-All Russia in Russian politics. These two parties united into United Russia – party already in 2001. In two years, then, Putin restored the central control of regional leaders and put an end to political influence of oligarchs in the federal center. After the formation of United Russia Putin’s administration has had a majority in Duma and the opposition, especially the Communist party has lost much of its influence in domestic politics. The Putin years with diminishing rates of poverty and social stability has meant predictability of life and some prospects for steady life and wellbeing. This in turn, has effectively eroded the political base of liberal, “western” parties, which have been linked with turmoil of the Yeltsin years. There are different definitions of Putin’s administration, for some it represents a corporatist system where there are close ties with business organizations as well as trade union organizations. For others it represents state capitalism, because Putin’s cronies have a strong position in state-owned enterprises, like Gazprom or Rosneft. In both definitions there is a view that Russia is governed through a vertical of power where the powers of each level are clearly defined and where the governance is the hands of the Presidential administration. The power vertical has undermined the influence of parties and interest organizations in the society because only the “loyal figures to the state are appointed to important positions to implement policy decisions” (Monaghan 2012)</w:t>
      </w:r>
    </w:p>
    <w:bookmarkStart w:id="40" w:name="no-organized-interest-representation"/>
    <w:p>
      <w:pPr>
        <w:pStyle w:val="Heading2"/>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The FNPR had “no desire of ability to support the strikes” (Olimpieva 2012, 268) and therefore the alternative labor unions started to lead the labor protests. At least part of these strikes was organized by unions and company management together, which gave reason to call them “managers’ strikes”.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r>
        <w:br w:type="textWrapping"/>
      </w:r>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 Unions created temporary alliances with political parties, some unions in the FNPR were allying with Communist Party and Agrarian party and also with Russian Union of Industrialist and Entrepreneurs in order to block reforms and the privatization policies. One important reason for weak position of unions in the influencing social reforms has been the division of unions in two conflicting camps with differing modes of labor representation. The FNRP represents “distributive (bureaucratic) mode” where the partnership relation with employer is emphasized, while the alternative unions represent the” protest mode” where labor rights and interest representation against the employer plays a key role. (Olimpieva 2012, 269)</w:t>
      </w:r>
    </w:p>
    <w:p>
      <w:r>
        <w:t xml:space="preserve">Since Putin’s presidency the role of the unions has still diminished, partly due to favorable economic development which has guaranteed stable growth of wages and improved labor conditions, and partly because the FNPR has become almost organic part of the leading United Russia-party. The reform of Labor Code in 2001 removed much of the influence of unions by weakening the protective legislation and giving more decision making power to employers in the matters of labor relations and labor markets in general. (Cook 2011, 20) Unions lost also the right to announce a strike, which can start only after a meeting of labor collective (which in many cases includes also managers).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 It would seem that political parties or interest organizations have lost most of their influence in design and implementation of reforms in and they have remained to be planned and implemented by bureaucracy. This would imply that popular agency has had no room in welfare policy reforms in Russia. But the failures in the pension reform and monetization reforms testify that agency still plays a role and that the system is receptive to popular demands and protests. The key goal of welfare reform was a turn from universal benefits or in-kind benefits for privileged groups towards the targeted, means-tested benefits and services especially for poor families or low-income groups. The key aims of monetization reform were the 1) decrease of the welfare costs, 2) change eligibility criteria to favor poor, 3) to improve transparency of payments,4) increase social justice and 5) diminish poverty levels (Maltseva 2012, 336). Also the extreme inefficiency of those enterprises and sectors of the economy, which produced in-kind services to the population (transport, medical services, etc.) urged the reform.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There was a large support for the reform of the old system: 68 % of respondents agreed that the old system unjust and ineffective and only 18 % of respondents believed that the old system is socially just. The old system represented Soviet system of restricted privileges and caused therefore a deep mistrust among the population. As the key problems of the old system the respondents saw the lack of targeted social assistance, bureaucracy and unfriendly personnel in social services. (Maltseva 2012, 286-290). 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rising. Also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erupted, totaling 420 protest actions between January-July 2005. (Maltseva 2012, 290)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 Regions had no time to evaluate and no resources to implement the reform.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 (2012, 338) The pension reform was justified with weakening demographic balance in the future – i.e. growing sustainability gap in future which meant too many pensioners in relation to working population. Pension reform aimed at linking pensions more closely with incomes and replacing most benefits in kind by supplementary monetary payments. However, the pension reform prompted massive protests of pensioners in 2005 and as pensioners are mainly loyal supporters of United Russia, the government was forced to reverse some elements of the reform, like the monetization of medicines and transport benefits. The protests against reforms of welfare system did not represent any organized interest articulation in its customary sense: there were no parties organizing it, nor any major trade-unions, even if both political parties and trade unions made efforts to dominate the protests of pensioners against the government. Instead, the protests were ephemeral outbursts of activity, struggling to defend limited interest. Putin’s popularity has largely been based on economic stabilization and increasing welfare of large groups of population. Therefore, the reforms which seemed as attempts to undermine the wellbeing of some groups of population, provoked a strong backlash and retreat of the government in the fear of losing popular support. The failures in the monetization and pension reforms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Also Shevtsova dismissed National Projects as handouts of government to stifle popular discontent before elections. The major faults of National Projects are according to Shevtsova that there are no mechanisms for lifting people from poverty and that local governments lack resources and are therefore still controlled by the Federal government in the provision of basic welfare services, like education, medical services or culture (2007, 157-158).) ) The funding the projects presented a major reason for skepticism towards the sincerity of commitment the government to National Projects. Between the years 2009-2011, the amount of money allocated to National Projects decreased from 354 billion to 274 billion rubles. As Monacelli (2008) notes: “Again, the vast disparity between the money dedicated to short-term relief and long-term investment indicates that, ultimately, such projects are of little importance to the Kremlin’s larger picture.”</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The Levada –center has polled Russians almost every year since early 2000’s about the quality of health-care and educational services. According to poll, since 2000 the shares of those who think that the situation of health care has either deteriorated or remained the same have been practically similar – between 35-45 % of respondents. The share of those who think that the health-care has improved has remained clearly under 20 %, like the share of those who are satisfied with the health-care system. Almost two respondents out of three are either very or rather unsatisfied with the health-care system. A larger group of respondents, between 65 – 74 % , say that they cannot get good medical service when they need it. Only a quarter of respondents in ISSP-health survey have confidence in the Russian health-care and 57 % think that health-care system is inefficient. 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 Levada-center asked also whether people would prefer to have free education and health-care or money to buy those services. Each year since 2002 60-76 % of respondents have preferred to have free education and health-care. In Social Distinctions in Modern Russia-survey (SDMR) in 1999 and in 2007 people were asked who should run services like health-care, elderly, taking care of children or leisure services. In both years the majority of Russians said that the state should run the medical care-services and taking care of the elderly. Also in ISSP-survey 60 % of respondents favored health-care services, which are provided by the government In the SDMR- surveys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 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 .</w:t>
      </w:r>
    </w:p>
    <w:p/>
    <w:tbl>
      <w:tblPr>
        <w:tblStyle w:val="TableNormal"/>
        <w:tblCaption w:val="caption here Source: Levada Center 2014"/>
      </w:tblPr>
      <w:tblGrid>
        <w:gridCol w:w="2053"/>
        <w:gridCol w:w="586"/>
        <w:gridCol w:w="586"/>
        <w:gridCol w:w="586"/>
        <w:gridCol w:w="586"/>
        <w:gridCol w:w="586"/>
        <w:gridCol w:w="586"/>
        <w:gridCol w:w="586"/>
        <w:gridCol w:w="586"/>
        <w:gridCol w:w="586"/>
        <w:gridCol w:w="586"/>
      </w:tblGrid>
      <w:tr>
        <w:tc>
          <w:tcPr>
            <w:tcBorders>
              <w:bottom w:val="single"/>
            </w:tcBorders>
            <w:vAlign w:val="bottom"/>
          </w:tcPr>
          <w:p/>
        </w:tc>
        <w:tc>
          <w:tcPr>
            <w:tcBorders>
              <w:bottom w:val="single"/>
            </w:tcBorders>
            <w:vAlign w:val="bottom"/>
          </w:tcPr>
          <w:p>
            <w:pPr>
              <w:pStyle w:val="Compact"/>
              <w:jc w:val="left"/>
            </w:pPr>
            <w:r>
              <w:t xml:space="preserve">2003 VIII</w:t>
            </w:r>
          </w:p>
        </w:tc>
        <w:tc>
          <w:tcPr>
            <w:tcBorders>
              <w:bottom w:val="single"/>
            </w:tcBorders>
            <w:vAlign w:val="bottom"/>
          </w:tcPr>
          <w:p>
            <w:pPr>
              <w:pStyle w:val="Compact"/>
              <w:jc w:val="left"/>
            </w:pPr>
            <w:r>
              <w:t xml:space="preserve">2004 VIII</w:t>
            </w:r>
          </w:p>
        </w:tc>
        <w:tc>
          <w:tcPr>
            <w:tcBorders>
              <w:bottom w:val="single"/>
            </w:tcBorders>
            <w:vAlign w:val="bottom"/>
          </w:tcPr>
          <w:p>
            <w:pPr>
              <w:pStyle w:val="Compact"/>
              <w:jc w:val="left"/>
            </w:pPr>
            <w:r>
              <w:t xml:space="preserve">2005 VIII</w:t>
            </w:r>
          </w:p>
        </w:tc>
        <w:tc>
          <w:tcPr>
            <w:tcBorders>
              <w:bottom w:val="single"/>
            </w:tcBorders>
            <w:vAlign w:val="bottom"/>
          </w:tcPr>
          <w:p>
            <w:pPr>
              <w:pStyle w:val="Compact"/>
              <w:jc w:val="left"/>
            </w:pPr>
            <w:r>
              <w:t xml:space="preserve">2006 VIII</w:t>
            </w:r>
          </w:p>
        </w:tc>
        <w:tc>
          <w:tcPr>
            <w:tcBorders>
              <w:bottom w:val="single"/>
            </w:tcBorders>
            <w:vAlign w:val="bottom"/>
          </w:tcPr>
          <w:p>
            <w:pPr>
              <w:pStyle w:val="Compact"/>
              <w:jc w:val="left"/>
            </w:pPr>
            <w:r>
              <w:t xml:space="preserve">2007 VIII</w:t>
            </w:r>
          </w:p>
        </w:tc>
        <w:tc>
          <w:tcPr>
            <w:tcBorders>
              <w:bottom w:val="single"/>
            </w:tcBorders>
            <w:vAlign w:val="bottom"/>
          </w:tcPr>
          <w:p>
            <w:pPr>
              <w:pStyle w:val="Compact"/>
              <w:jc w:val="left"/>
            </w:pPr>
            <w:r>
              <w:t xml:space="preserve">2008 VIII</w:t>
            </w:r>
          </w:p>
        </w:tc>
        <w:tc>
          <w:tcPr>
            <w:tcBorders>
              <w:bottom w:val="single"/>
            </w:tcBorders>
            <w:vAlign w:val="bottom"/>
          </w:tcPr>
          <w:p>
            <w:pPr>
              <w:pStyle w:val="Compact"/>
              <w:jc w:val="left"/>
            </w:pPr>
            <w:r>
              <w:t xml:space="preserve">2009 VIII</w:t>
            </w:r>
          </w:p>
        </w:tc>
        <w:tc>
          <w:tcPr>
            <w:tcBorders>
              <w:bottom w:val="single"/>
            </w:tcBorders>
            <w:vAlign w:val="bottom"/>
          </w:tcPr>
          <w:p>
            <w:pPr>
              <w:pStyle w:val="Compact"/>
              <w:jc w:val="left"/>
            </w:pPr>
            <w:r>
              <w:t xml:space="preserve">2010 VIII</w:t>
            </w:r>
          </w:p>
        </w:tc>
        <w:tc>
          <w:tcPr>
            <w:tcBorders>
              <w:bottom w:val="single"/>
            </w:tcBorders>
            <w:vAlign w:val="bottom"/>
          </w:tcPr>
          <w:p>
            <w:pPr>
              <w:pStyle w:val="Compact"/>
              <w:jc w:val="left"/>
            </w:pPr>
            <w:r>
              <w:t xml:space="preserve">2011 VIII</w:t>
            </w:r>
          </w:p>
        </w:tc>
        <w:tc>
          <w:tcPr>
            <w:tcBorders>
              <w:bottom w:val="single"/>
            </w:tcBorders>
            <w:vAlign w:val="bottom"/>
          </w:tcPr>
          <w:p>
            <w:pPr>
              <w:pStyle w:val="Compact"/>
              <w:jc w:val="left"/>
            </w:pPr>
            <w:r>
              <w:t xml:space="preserve">2012 IX</w:t>
            </w:r>
          </w:p>
        </w:tc>
      </w:tr>
      <w:tr>
        <w:tc>
          <w:p>
            <w:pPr>
              <w:pStyle w:val="Compact"/>
              <w:jc w:val="left"/>
            </w:pPr>
            <w:r>
              <w:t xml:space="preserve">Definitely yes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Yes, rather than no</w:t>
            </w:r>
          </w:p>
        </w:tc>
        <w:tc>
          <w:p>
            <w:pPr>
              <w:pStyle w:val="Compact"/>
              <w:jc w:val="left"/>
            </w:pPr>
            <w:r>
              <w:t xml:space="preserve">9</w:t>
            </w:r>
          </w:p>
        </w:tc>
        <w:tc>
          <w:p>
            <w:pPr>
              <w:pStyle w:val="Compact"/>
              <w:jc w:val="left"/>
            </w:pPr>
            <w:r>
              <w:t xml:space="preserve">11</w:t>
            </w:r>
          </w:p>
        </w:tc>
        <w:tc>
          <w:p>
            <w:pPr>
              <w:pStyle w:val="Compact"/>
              <w:jc w:val="left"/>
            </w:pPr>
            <w:r>
              <w:t xml:space="preserve">9</w:t>
            </w:r>
          </w:p>
        </w:tc>
        <w:tc>
          <w:p>
            <w:pPr>
              <w:pStyle w:val="Compact"/>
              <w:jc w:val="left"/>
            </w:pPr>
            <w:r>
              <w:t xml:space="preserve">10</w:t>
            </w:r>
          </w:p>
        </w:tc>
        <w:tc>
          <w:p>
            <w:pPr>
              <w:pStyle w:val="Compact"/>
              <w:jc w:val="left"/>
            </w:pPr>
            <w:r>
              <w:t xml:space="preserve">14</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14</w:t>
            </w:r>
          </w:p>
        </w:tc>
        <w:tc>
          <w:p>
            <w:pPr>
              <w:pStyle w:val="Compact"/>
              <w:jc w:val="left"/>
            </w:pPr>
            <w:r>
              <w:t xml:space="preserve">15</w:t>
            </w:r>
          </w:p>
        </w:tc>
      </w:tr>
      <w:tr>
        <w:tc>
          <w:p>
            <w:pPr>
              <w:pStyle w:val="Compact"/>
              <w:jc w:val="left"/>
            </w:pPr>
            <w:r>
              <w:t xml:space="preserve">Neither yes, nor no</w:t>
            </w:r>
          </w:p>
        </w:tc>
        <w:tc>
          <w:p>
            <w:pPr>
              <w:pStyle w:val="Compact"/>
              <w:jc w:val="left"/>
            </w:pPr>
            <w:r>
              <w:t xml:space="preserve">23</w:t>
            </w:r>
          </w:p>
        </w:tc>
        <w:tc>
          <w:p>
            <w:pPr>
              <w:pStyle w:val="Compact"/>
              <w:jc w:val="left"/>
            </w:pPr>
            <w:r>
              <w:t xml:space="preserve">20</w:t>
            </w:r>
          </w:p>
        </w:tc>
        <w:tc>
          <w:p>
            <w:pPr>
              <w:pStyle w:val="Compact"/>
              <w:jc w:val="left"/>
            </w:pPr>
            <w:r>
              <w:t xml:space="preserve">21</w:t>
            </w:r>
          </w:p>
        </w:tc>
        <w:tc>
          <w:p>
            <w:pPr>
              <w:pStyle w:val="Compact"/>
              <w:jc w:val="left"/>
            </w:pPr>
            <w:r>
              <w:t xml:space="preserve">19</w:t>
            </w:r>
          </w:p>
        </w:tc>
        <w:tc>
          <w:p>
            <w:pPr>
              <w:pStyle w:val="Compact"/>
              <w:jc w:val="left"/>
            </w:pPr>
            <w:r>
              <w:t xml:space="preserve">21</w:t>
            </w:r>
          </w:p>
        </w:tc>
        <w:tc>
          <w:p>
            <w:pPr>
              <w:pStyle w:val="Compact"/>
              <w:jc w:val="left"/>
            </w:pPr>
            <w:r>
              <w:t xml:space="preserve">20</w:t>
            </w:r>
          </w:p>
        </w:tc>
        <w:tc>
          <w:p>
            <w:pPr>
              <w:pStyle w:val="Compact"/>
              <w:jc w:val="left"/>
            </w:pPr>
            <w:r>
              <w:t xml:space="preserve">23</w:t>
            </w:r>
          </w:p>
        </w:tc>
        <w:tc>
          <w:p>
            <w:pPr>
              <w:pStyle w:val="Compact"/>
              <w:jc w:val="left"/>
            </w:pPr>
            <w:r>
              <w:t xml:space="preserve">22</w:t>
            </w:r>
          </w:p>
        </w:tc>
        <w:tc>
          <w:p>
            <w:pPr>
              <w:pStyle w:val="Compact"/>
              <w:jc w:val="left"/>
            </w:pPr>
            <w:r>
              <w:t xml:space="preserve">22</w:t>
            </w:r>
          </w:p>
        </w:tc>
        <w:tc>
          <w:p>
            <w:pPr>
              <w:pStyle w:val="Compact"/>
              <w:jc w:val="left"/>
            </w:pPr>
            <w:r>
              <w:t xml:space="preserve">22</w:t>
            </w:r>
          </w:p>
        </w:tc>
      </w:tr>
      <w:tr>
        <w:tc>
          <w:p>
            <w:pPr>
              <w:pStyle w:val="Compact"/>
              <w:jc w:val="left"/>
            </w:pPr>
            <w:r>
              <w:t xml:space="preserve">No, rather than yes</w:t>
            </w:r>
          </w:p>
        </w:tc>
        <w:tc>
          <w:p>
            <w:pPr>
              <w:pStyle w:val="Compact"/>
              <w:jc w:val="left"/>
            </w:pPr>
            <w:r>
              <w:t xml:space="preserve">39</w:t>
            </w:r>
          </w:p>
        </w:tc>
        <w:tc>
          <w:p>
            <w:pPr>
              <w:pStyle w:val="Compact"/>
              <w:jc w:val="left"/>
            </w:pPr>
            <w:r>
              <w:t xml:space="preserve">36</w:t>
            </w:r>
          </w:p>
        </w:tc>
        <w:tc>
          <w:p>
            <w:pPr>
              <w:pStyle w:val="Compact"/>
              <w:jc w:val="left"/>
            </w:pPr>
            <w:r>
              <w:t xml:space="preserve">36</w:t>
            </w:r>
          </w:p>
        </w:tc>
        <w:tc>
          <w:p>
            <w:pPr>
              <w:pStyle w:val="Compact"/>
              <w:jc w:val="left"/>
            </w:pPr>
            <w:r>
              <w:t xml:space="preserve">36</w:t>
            </w:r>
          </w:p>
        </w:tc>
        <w:tc>
          <w:p>
            <w:pPr>
              <w:pStyle w:val="Compact"/>
              <w:jc w:val="left"/>
            </w:pPr>
            <w:r>
              <w:t xml:space="preserve">34</w:t>
            </w:r>
          </w:p>
        </w:tc>
        <w:tc>
          <w:p>
            <w:pPr>
              <w:pStyle w:val="Compact"/>
              <w:jc w:val="left"/>
            </w:pPr>
            <w:r>
              <w:t xml:space="preserve">36</w:t>
            </w:r>
          </w:p>
        </w:tc>
        <w:tc>
          <w:p>
            <w:pPr>
              <w:pStyle w:val="Compact"/>
              <w:jc w:val="left"/>
            </w:pPr>
            <w:r>
              <w:t xml:space="preserve">36</w:t>
            </w:r>
          </w:p>
        </w:tc>
        <w:tc>
          <w:p>
            <w:pPr>
              <w:pStyle w:val="Compact"/>
              <w:jc w:val="left"/>
            </w:pPr>
            <w:r>
              <w:t xml:space="preserve">35</w:t>
            </w:r>
          </w:p>
        </w:tc>
        <w:tc>
          <w:p>
            <w:pPr>
              <w:pStyle w:val="Compact"/>
              <w:jc w:val="left"/>
            </w:pPr>
            <w:r>
              <w:t xml:space="preserve">37</w:t>
            </w:r>
          </w:p>
        </w:tc>
        <w:tc>
          <w:p>
            <w:pPr>
              <w:pStyle w:val="Compact"/>
              <w:jc w:val="left"/>
            </w:pPr>
            <w:r>
              <w:t xml:space="preserve">33</w:t>
            </w:r>
          </w:p>
        </w:tc>
      </w:tr>
      <w:tr>
        <w:tc>
          <w:p>
            <w:pPr>
              <w:pStyle w:val="Compact"/>
              <w:jc w:val="left"/>
            </w:pPr>
            <w:r>
              <w:t xml:space="preserve">Definitely no</w:t>
            </w:r>
          </w:p>
        </w:tc>
        <w:tc>
          <w:p>
            <w:pPr>
              <w:pStyle w:val="Compact"/>
              <w:jc w:val="left"/>
            </w:pPr>
            <w:r>
              <w:t xml:space="preserve">23</w:t>
            </w:r>
          </w:p>
        </w:tc>
        <w:tc>
          <w:p>
            <w:pPr>
              <w:pStyle w:val="Compact"/>
              <w:jc w:val="left"/>
            </w:pPr>
            <w:r>
              <w:t xml:space="preserve">29</w:t>
            </w:r>
          </w:p>
        </w:tc>
        <w:tc>
          <w:p>
            <w:pPr>
              <w:pStyle w:val="Compact"/>
              <w:jc w:val="left"/>
            </w:pPr>
            <w:r>
              <w:t xml:space="preserve">29</w:t>
            </w:r>
          </w:p>
        </w:tc>
        <w:tc>
          <w:p>
            <w:pPr>
              <w:pStyle w:val="Compact"/>
              <w:jc w:val="left"/>
            </w:pPr>
            <w:r>
              <w:t xml:space="preserve">32</w:t>
            </w:r>
          </w:p>
        </w:tc>
        <w:tc>
          <w:p>
            <w:pPr>
              <w:pStyle w:val="Compact"/>
              <w:jc w:val="left"/>
            </w:pPr>
            <w:r>
              <w:t xml:space="preserve">26</w:t>
            </w:r>
          </w:p>
        </w:tc>
        <w:tc>
          <w:p>
            <w:pPr>
              <w:pStyle w:val="Compact"/>
              <w:jc w:val="left"/>
            </w:pPr>
            <w:r>
              <w:t xml:space="preserve">27</w:t>
            </w:r>
          </w:p>
        </w:tc>
        <w:tc>
          <w:p>
            <w:pPr>
              <w:pStyle w:val="Compact"/>
              <w:jc w:val="left"/>
            </w:pPr>
            <w:r>
              <w:t xml:space="preserve">22</w:t>
            </w:r>
          </w:p>
        </w:tc>
        <w:tc>
          <w:p>
            <w:pPr>
              <w:pStyle w:val="Compact"/>
              <w:jc w:val="left"/>
            </w:pPr>
            <w:r>
              <w:t xml:space="preserve">25</w:t>
            </w:r>
          </w:p>
        </w:tc>
        <w:tc>
          <w:p>
            <w:pPr>
              <w:pStyle w:val="Compact"/>
              <w:jc w:val="left"/>
            </w:pPr>
            <w:r>
              <w:t xml:space="preserve">22</w:t>
            </w:r>
          </w:p>
        </w:tc>
        <w:tc>
          <w:p>
            <w:pPr>
              <w:pStyle w:val="Compact"/>
              <w:jc w:val="left"/>
            </w:pPr>
            <w:r>
              <w:t xml:space="preserve">24</w:t>
            </w:r>
          </w:p>
        </w:tc>
      </w:tr>
      <w:tr>
        <w:tc>
          <w:p>
            <w:pPr>
              <w:pStyle w:val="Compact"/>
              <w:jc w:val="left"/>
            </w:pPr>
            <w:r>
              <w:t xml:space="preserve">Difficult to answer</w:t>
            </w:r>
          </w:p>
        </w:tc>
        <w:tc>
          <w:p>
            <w:pPr>
              <w:pStyle w:val="Compact"/>
              <w:jc w:val="left"/>
            </w:pPr>
            <w:r>
              <w:t xml:space="preserve">4</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r>
    </w:tbl>
    <w:p>
      <w:pPr>
        <w:pStyle w:val="TableCaption"/>
      </w:pPr>
      <w:r>
        <w:t xml:space="preserve">caption here</w:t>
      </w:r>
      <w:r>
        <w:t xml:space="preserve"> </w:t>
      </w:r>
      <w:r>
        <w:rPr>
          <w:i/>
        </w:rPr>
        <w:t xml:space="preserve">Source: Levada Center 2014</w:t>
      </w:r>
    </w:p>
    <w:tbl>
      <w:tblPr>
        <w:tblStyle w:val="TableNormal"/>
        <w:tblCaption w:val="Who should run the following services? Source: Distinctions in Modern Russia-surveys 1999/2007"/>
      </w:tblPr>
      <w:tblGrid>
        <w:gridCol w:w="2530"/>
        <w:gridCol w:w="770"/>
        <w:gridCol w:w="770"/>
        <w:gridCol w:w="990"/>
        <w:gridCol w:w="770"/>
        <w:gridCol w:w="990"/>
        <w:gridCol w:w="440"/>
      </w:tblGrid>
      <w:tr>
        <w:tc>
          <w:tcPr>
            <w:tcBorders>
              <w:bottom w:val="single"/>
            </w:tcBorders>
            <w:vAlign w:val="bottom"/>
          </w:tcPr>
          <w:p/>
        </w:tc>
        <w:tc>
          <w:tcPr>
            <w:tcBorders>
              <w:bottom w:val="single"/>
            </w:tcBorders>
            <w:vAlign w:val="bottom"/>
          </w:tcPr>
          <w:p>
            <w:pPr>
              <w:pStyle w:val="Compact"/>
              <w:jc w:val="left"/>
            </w:pPr>
            <w:r>
              <w:t xml:space="preserve">Child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Elderly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Medical 1999</w:t>
            </w:r>
          </w:p>
        </w:tc>
        <w:tc>
          <w:tcPr>
            <w:tcBorders>
              <w:bottom w:val="single"/>
            </w:tcBorders>
            <w:vAlign w:val="bottom"/>
          </w:tcPr>
          <w:p>
            <w:pPr>
              <w:pStyle w:val="Compact"/>
              <w:jc w:val="left"/>
            </w:pPr>
            <w:r>
              <w:t xml:space="preserve">Care 2007</w:t>
            </w:r>
          </w:p>
        </w:tc>
      </w:tr>
      <w:tr>
        <w:tc>
          <w:p>
            <w:pPr>
              <w:pStyle w:val="Compact"/>
              <w:jc w:val="left"/>
            </w:pPr>
            <w:r>
              <w:t xml:space="preserve">State</w:t>
            </w:r>
          </w:p>
        </w:tc>
        <w:tc>
          <w:p>
            <w:pPr>
              <w:pStyle w:val="Compact"/>
              <w:jc w:val="left"/>
            </w:pPr>
            <w:r>
              <w:t xml:space="preserve">66.4</w:t>
            </w:r>
          </w:p>
        </w:tc>
        <w:tc>
          <w:p>
            <w:pPr>
              <w:pStyle w:val="Compact"/>
              <w:jc w:val="left"/>
            </w:pPr>
            <w:r>
              <w:t xml:space="preserve">42.8</w:t>
            </w:r>
          </w:p>
        </w:tc>
        <w:tc>
          <w:p>
            <w:pPr>
              <w:pStyle w:val="Compact"/>
              <w:jc w:val="left"/>
            </w:pPr>
            <w:r>
              <w:t xml:space="preserve">77.4</w:t>
            </w:r>
          </w:p>
        </w:tc>
        <w:tc>
          <w:p>
            <w:pPr>
              <w:pStyle w:val="Compact"/>
              <w:jc w:val="left"/>
            </w:pPr>
            <w:r>
              <w:t xml:space="preserve">55.7</w:t>
            </w:r>
          </w:p>
        </w:tc>
        <w:tc>
          <w:p>
            <w:pPr>
              <w:pStyle w:val="Compact"/>
              <w:jc w:val="left"/>
            </w:pPr>
            <w:r>
              <w:t xml:space="preserve">76.4</w:t>
            </w:r>
          </w:p>
        </w:tc>
        <w:tc>
          <w:p>
            <w:pPr>
              <w:pStyle w:val="Compact"/>
              <w:jc w:val="left"/>
            </w:pPr>
            <w:r>
              <w:t xml:space="preserve">60.5</w:t>
            </w:r>
          </w:p>
        </w:tc>
      </w:tr>
      <w:tr>
        <w:tc>
          <w:p>
            <w:pPr>
              <w:pStyle w:val="Compact"/>
              <w:jc w:val="left"/>
            </w:pPr>
            <w:r>
              <w:t xml:space="preserve">Regional authorities</w:t>
            </w:r>
          </w:p>
        </w:tc>
        <w:tc>
          <w:p>
            <w:pPr>
              <w:pStyle w:val="Compact"/>
              <w:jc w:val="left"/>
            </w:pPr>
            <w:r>
              <w:t xml:space="preserve">2.8</w:t>
            </w:r>
          </w:p>
        </w:tc>
        <w:tc>
          <w:p>
            <w:pPr>
              <w:pStyle w:val="Compact"/>
              <w:jc w:val="left"/>
            </w:pPr>
            <w:r>
              <w:t xml:space="preserve">6.1</w:t>
            </w:r>
          </w:p>
        </w:tc>
        <w:tc>
          <w:p>
            <w:pPr>
              <w:pStyle w:val="Compact"/>
              <w:jc w:val="left"/>
            </w:pPr>
            <w:r>
              <w:t xml:space="preserve">4.2</w:t>
            </w:r>
          </w:p>
        </w:tc>
        <w:tc>
          <w:p>
            <w:pPr>
              <w:pStyle w:val="Compact"/>
              <w:jc w:val="left"/>
            </w:pPr>
            <w:r>
              <w:t xml:space="preserve">8.4</w:t>
            </w:r>
          </w:p>
        </w:tc>
        <w:tc>
          <w:p>
            <w:pPr>
              <w:pStyle w:val="Compact"/>
              <w:jc w:val="left"/>
            </w:pPr>
            <w:r>
              <w:t xml:space="preserve">4.6</w:t>
            </w:r>
          </w:p>
        </w:tc>
        <w:tc>
          <w:p>
            <w:pPr>
              <w:pStyle w:val="Compact"/>
              <w:jc w:val="left"/>
            </w:pPr>
            <w:r>
              <w:t xml:space="preserve">15.0</w:t>
            </w:r>
          </w:p>
        </w:tc>
      </w:tr>
      <w:tr>
        <w:tc>
          <w:p>
            <w:pPr>
              <w:pStyle w:val="Compact"/>
              <w:jc w:val="left"/>
            </w:pPr>
            <w:r>
              <w:t xml:space="preserve">Local authorities</w:t>
            </w:r>
          </w:p>
        </w:tc>
        <w:tc>
          <w:p>
            <w:pPr>
              <w:pStyle w:val="Compact"/>
              <w:jc w:val="left"/>
            </w:pPr>
            <w:r>
              <w:t xml:space="preserve">7.2</w:t>
            </w:r>
          </w:p>
        </w:tc>
        <w:tc>
          <w:p>
            <w:pPr>
              <w:pStyle w:val="Compact"/>
              <w:jc w:val="left"/>
            </w:pPr>
            <w:r>
              <w:t xml:space="preserve">9.1</w:t>
            </w:r>
          </w:p>
        </w:tc>
        <w:tc>
          <w:p>
            <w:pPr>
              <w:pStyle w:val="Compact"/>
              <w:jc w:val="left"/>
            </w:pPr>
            <w:r>
              <w:t xml:space="preserve">9.3</w:t>
            </w:r>
          </w:p>
        </w:tc>
        <w:tc>
          <w:p>
            <w:pPr>
              <w:pStyle w:val="Compact"/>
              <w:jc w:val="left"/>
            </w:pPr>
            <w:r>
              <w:t xml:space="preserve">14.1</w:t>
            </w:r>
          </w:p>
        </w:tc>
        <w:tc>
          <w:p>
            <w:pPr>
              <w:pStyle w:val="Compact"/>
              <w:jc w:val="left"/>
            </w:pPr>
            <w:r>
              <w:t xml:space="preserve">11.3</w:t>
            </w:r>
          </w:p>
        </w:tc>
        <w:tc>
          <w:p>
            <w:pPr>
              <w:pStyle w:val="Compact"/>
              <w:jc w:val="left"/>
            </w:pPr>
            <w:r>
              <w:t xml:space="preserve">18.6</w:t>
            </w:r>
          </w:p>
        </w:tc>
      </w:tr>
      <w:tr>
        <w:tc>
          <w:p>
            <w:pPr>
              <w:pStyle w:val="Compact"/>
              <w:jc w:val="left"/>
            </w:pPr>
            <w:r>
              <w:t xml:space="preserve">Private enterprises</w:t>
            </w:r>
          </w:p>
        </w:tc>
        <w:tc>
          <w:p>
            <w:pPr>
              <w:pStyle w:val="Compact"/>
              <w:jc w:val="left"/>
            </w:pPr>
            <w:r>
              <w:t xml:space="preserve">0.3</w:t>
            </w:r>
          </w:p>
        </w:tc>
        <w:tc>
          <w:p>
            <w:pPr>
              <w:pStyle w:val="Compact"/>
              <w:jc w:val="left"/>
            </w:pPr>
            <w:r>
              <w:t xml:space="preserve">0.5</w:t>
            </w:r>
          </w:p>
        </w:tc>
        <w:tc>
          <w:p>
            <w:pPr>
              <w:pStyle w:val="Compact"/>
              <w:jc w:val="left"/>
            </w:pPr>
            <w:r>
              <w:t xml:space="preserve">0.8</w:t>
            </w:r>
          </w:p>
        </w:tc>
        <w:tc>
          <w:p>
            <w:pPr>
              <w:pStyle w:val="Compact"/>
              <w:jc w:val="left"/>
            </w:pPr>
            <w:r>
              <w:t xml:space="preserve">0.6</w:t>
            </w:r>
          </w:p>
        </w:tc>
        <w:tc>
          <w:p>
            <w:pPr>
              <w:pStyle w:val="Compact"/>
              <w:jc w:val="left"/>
            </w:pPr>
            <w:r>
              <w:t xml:space="preserve">2.2</w:t>
            </w:r>
          </w:p>
        </w:tc>
        <w:tc>
          <w:p>
            <w:pPr>
              <w:pStyle w:val="Compact"/>
              <w:jc w:val="left"/>
            </w:pPr>
            <w:r>
              <w:t xml:space="preserve">0.9</w:t>
            </w:r>
          </w:p>
        </w:tc>
      </w:tr>
      <w:tr>
        <w:tc>
          <w:p>
            <w:pPr>
              <w:pStyle w:val="Compact"/>
              <w:jc w:val="left"/>
            </w:pPr>
            <w:r>
              <w:t xml:space="preserve">Citizens</w:t>
            </w:r>
          </w:p>
        </w:tc>
        <w:tc>
          <w:p>
            <w:pPr>
              <w:pStyle w:val="Compact"/>
              <w:jc w:val="left"/>
            </w:pPr>
            <w:r>
              <w:t xml:space="preserve">18.8</w:t>
            </w:r>
          </w:p>
        </w:tc>
        <w:tc>
          <w:p>
            <w:pPr>
              <w:pStyle w:val="Compact"/>
              <w:jc w:val="left"/>
            </w:pPr>
            <w:r>
              <w:t xml:space="preserve">36.7</w:t>
            </w:r>
          </w:p>
        </w:tc>
        <w:tc>
          <w:p>
            <w:pPr>
              <w:pStyle w:val="Compact"/>
              <w:jc w:val="left"/>
            </w:pPr>
            <w:r>
              <w:t xml:space="preserve">5.4</w:t>
            </w:r>
          </w:p>
        </w:tc>
        <w:tc>
          <w:p>
            <w:pPr>
              <w:pStyle w:val="Compact"/>
              <w:jc w:val="left"/>
            </w:pPr>
            <w:r>
              <w:t xml:space="preserve">16.2</w:t>
            </w:r>
          </w:p>
        </w:tc>
        <w:tc>
          <w:p>
            <w:pPr>
              <w:pStyle w:val="Compact"/>
              <w:jc w:val="left"/>
            </w:pPr>
            <w:r>
              <w:t xml:space="preserve">1.4</w:t>
            </w:r>
          </w:p>
        </w:tc>
        <w:tc>
          <w:p>
            <w:pPr>
              <w:pStyle w:val="Compact"/>
              <w:jc w:val="left"/>
            </w:pPr>
            <w:r>
              <w:t xml:space="preserve">0.1</w:t>
            </w:r>
          </w:p>
        </w:tc>
      </w:tr>
      <w:tr>
        <w:tc>
          <w:p>
            <w:pPr>
              <w:pStyle w:val="Compact"/>
              <w:jc w:val="left"/>
            </w:pPr>
            <w:r>
              <w:t xml:space="preserve">Hard to say</w:t>
            </w:r>
          </w:p>
        </w:tc>
        <w:tc>
          <w:p>
            <w:pPr>
              <w:pStyle w:val="Compact"/>
              <w:jc w:val="left"/>
            </w:pPr>
            <w:r>
              <w:t xml:space="preserve">4.5</w:t>
            </w:r>
          </w:p>
        </w:tc>
        <w:tc>
          <w:p>
            <w:pPr>
              <w:pStyle w:val="Compact"/>
              <w:jc w:val="left"/>
            </w:pPr>
            <w:r>
              <w:t xml:space="preserve">4.8</w:t>
            </w:r>
          </w:p>
        </w:tc>
        <w:tc>
          <w:p>
            <w:pPr>
              <w:pStyle w:val="Compact"/>
              <w:jc w:val="left"/>
            </w:pPr>
            <w:r>
              <w:t xml:space="preserve">2.9</w:t>
            </w:r>
          </w:p>
        </w:tc>
        <w:tc>
          <w:p>
            <w:pPr>
              <w:pStyle w:val="Compact"/>
              <w:jc w:val="left"/>
            </w:pPr>
            <w:r>
              <w:t xml:space="preserve">5.0</w:t>
            </w:r>
          </w:p>
        </w:tc>
        <w:tc>
          <w:p>
            <w:pPr>
              <w:pStyle w:val="Compact"/>
              <w:jc w:val="left"/>
            </w:pPr>
            <w:r>
              <w:t xml:space="preserve">4.1</w:t>
            </w:r>
          </w:p>
        </w:tc>
        <w:tc>
          <w:p>
            <w:pPr>
              <w:pStyle w:val="Compact"/>
              <w:jc w:val="left"/>
            </w:pPr>
            <w:r>
              <w:t xml:space="preserve">4.9</w:t>
            </w:r>
          </w:p>
        </w:tc>
      </w:tr>
      <w:tr>
        <w:tc>
          <w:p>
            <w:pPr>
              <w:pStyle w:val="Compact"/>
              <w:jc w:val="left"/>
            </w:pPr>
            <w:r>
              <w:t xml:space="preserve">TOTAL</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bl>
    <w:p>
      <w:pPr>
        <w:pStyle w:val="TableCaption"/>
      </w:pPr>
      <w:r>
        <w:t xml:space="preserve">Who should run the following services?</w:t>
      </w:r>
      <w:r>
        <w:t xml:space="preserve"> </w:t>
      </w:r>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ones(Sutela 2012, 2000), it is necessary to have a closer look at the functioning of the three-level welfare state in contemporary Russia. The high share of the federal expenditure becomes much explained by the large share of pensions and in-kind benefits (l'goty) that are the federal responsibility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in such context, where the political opportunity structure basically closed at the federal level, it is indeed worth going to lower levels to consider developments in there (Kulmala 2014).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(2013),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Saint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 EI KAIKKIVOIPANEN VAAN PARADOXAALINEN; PARADOXIEN MÄÄRÄ SUUREMPI KUIN MAHDOLLISUUDET/EFFORTIT</w:t>
      </w:r>
    </w:p>
    <w:bookmarkStart w:id="49" w:name="discussion"/>
    <w:p>
      <w:pPr>
        <w:pStyle w:val="Heading1"/>
      </w:pPr>
      <w:r>
        <w:t xml:space="preserve">Discussion</w:t>
      </w:r>
    </w:p>
    <w:bookmarkEnd w:id="49"/>
    <w:p>
      <w:r>
        <w:t xml:space="preserve">In this article our main methodological argument is that to establish a more comprehensive understanding of the Russian welfare policies requires structuration analysis which in parallel with the consideration of the structural factors brings in agency (and/or lack of agency). In substantive terms we have showed that the controversial and paradoxical tendencies in Russian welfare policies are to a great extent explained by the weakness of democratic agency. Civil society being weakly organized and all social classes being organizationally weak there is no systemic link that would connect social policy to citizens’ welfare concerns.</w:t>
      </w:r>
    </w:p>
    <w:p>
      <w:r>
        <w:t xml:space="preserve">The moderate but real standard of living in the Soviet society was based, to large extent, on workplaces and those services that they produced. There was no unemployment, because in the conditions of planned economy it was profitable to have a large pool of reserve labour in the enterprise. Social security was built not only on the workplaces but also those free-of-charge services that certain special groups were entitled to. Both of the security systems of Soviet life are quickly vanishing. Creation of a new model of welfare state is one of the big – and thus far unresolved – strategic tasks of Russian society.</w:t>
      </w:r>
    </w:p>
    <w:p>
      <w:r>
        <w:t xml:space="preserve">Aspalter (2006, 4-7) argues that explanatory theories of social welfare may be characterized either as actor-based (conflict) theories, or structural (functional) theories. Actor based theories suggest that it is the power and the programs of different actors that are the key to the formation of welfare regimes. On the other hand, the structural theories are apt to predict a convergence on social policies based on common structural determinants such as e.g. the degree of economic development, urbanization, modernization, or the advance of capitalist market economy. There is not much evidence that the Russian development could be explained on these basic structural aspects. Our analysis here adheres to action based explanation. On the other hand, none of the actors are omnipotent and specific historical structures must be taken into account as well.</w:t>
      </w:r>
    </w:p>
    <w:p>
      <w:r>
        <w:t xml:space="preserve">Russian political system is based on power vertical which underlines the role of the elite. No doubt the elite has been emphasizing social policy since 2006. And indeed, welfare funding has increased rapidly. However, a more detailed analysis of relative share of welfare in federal budget gives that in these figures the political will can hardly be seen. Even if we take into account the national priority programs we cannot empirically observe any coherent or comprehensive welfare policies. What we can witness is an event-driven constitution of social policy agency. After the l’got-reform, that is after monetarising traditional Soviet time non-monetary benefits, demonstrations of the pensioners were followed by the national priority programs. However, these did not really address the major problems of citizens concerns but were targeted to narrowly selected priorities which were mainly motivated by nationalistic interests of the state. This is most visible in the demography program in which the vast problem of mortality is not given a priority. Bypassing the expertise of the demographers is also striking evidence of the limited power resources of the professions in the formulation of the targets of social policy. The role of corporative structures is strong in pension policy, but the actual outcome is not what the government and the the Russian Union of Industrialists and Entrepreneurs intended. This was due to the lack of trust in ordinary citizens expectations and the failure is one of the many unintended results of the unsystematic welfare policy.</w:t>
      </w:r>
    </w:p>
    <w:p>
      <w:r>
        <w:t xml:space="preserve">In general Russian welfare policy seems to oscillate between contradictory tendencies: between neoliberalism and state based social policy, between individualisation of risks and strong administrative control. Our analysis seems to indicate a serious endogenous vulnerability within the Russian welfare system. If the growing financing is not connected to institutional reform vast questions concerning contradictory approaches and incentives will not be solved. Our argument also highlights the interdependency between various challenges of Russian modernisation. Eventually, successful social policy depends on economic diversification and on the democratisation of the political system as well.</w:t>
      </w:r>
    </w:p>
    <w:p>
      <w:r>
        <w:t xml:space="preserve">Our analysis shows that far from being omnipotent the Russian federal government seems to be paradoxical and contradictory in its social policy. Many fundamental issues are not addressed and political interventions seem to be event-driven rather than based on systemic hegemonic projects. However, the hybrid regime seems to be open to some forms of interest articulation if they are represented in the right way at the right time. This is especially the case at the regional and local level were positive development can be seen. And the highly incremental development of social policy at the federal level seems to indicate also that Russian elite has not created an actively predatory state which would have cut the welfare in a planned and systematic way.</w:t>
      </w:r>
    </w:p>
    <w:bookmarkStart w:id="50" w:name="references"/>
    <w:p>
      <w:pPr>
        <w:pStyle w:val="Heading1"/>
      </w:pPr>
      <w:r>
        <w:t xml:space="preserve">References</w:t>
      </w:r>
    </w:p>
    <w:bookmarkEnd w:id="50"/>
    <w:p>
      <w:pPr>
        <w:pStyle w:val="Compact"/>
        <w:numPr>
          <w:numId w:val="2"/>
          <w:ilvl w:val="0"/>
        </w:numPr>
      </w:pPr>
      <w:r>
        <w:t xml:space="preserve">Anderson, Barbara A. &amp; Brian D. Silver. The Changing Shape of Soviet Mortality, 1958–1985: An Evaluation of Old and New Evidence. Population Studies, Vol. 43/1989, 243–65.</w:t>
      </w:r>
    </w:p>
    <w:p>
      <w:pPr>
        <w:pStyle w:val="Compact"/>
        <w:numPr>
          <w:numId w:val="2"/>
          <w:ilvl w:val="0"/>
        </w:numPr>
      </w:pPr>
      <w:r>
        <w:t xml:space="preserve">Aspalter, Christian: New Developments in the Theory of Comparative Social Policy. Journal of Comparative Social Welfare Vol. 1, 2006/1, 3–22.</w:t>
      </w:r>
    </w:p>
    <w:p>
      <w:pPr>
        <w:pStyle w:val="Compact"/>
        <w:numPr>
          <w:numId w:val="2"/>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2"/>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2"/>
          <w:ilvl w:val="0"/>
        </w:numPr>
      </w:pPr>
      <w:r>
        <w:t xml:space="preserve">Cerami, Alfio: Welfare State Developments in the Russian Federation: Oil-Led Social Policy and ‘The Russian Miracle’. Social Policy &amp; Administration, Vol.43 no. 2, 105–120, (2009b)</w:t>
      </w:r>
    </w:p>
    <w:p>
      <w:pPr>
        <w:pStyle w:val="Compact"/>
        <w:numPr>
          <w:numId w:val="2"/>
          <w:ilvl w:val="0"/>
        </w:numPr>
      </w:pPr>
      <w:r>
        <w:t xml:space="preserve">Chernova, Zhanna (2010): Molodaia sem'ia kak ob'ekt / sub'ekt semenoi politiki. Polit.ru, 30 November 2010. http://polit.ru/article/2010/11/30/family/</w:t>
      </w:r>
    </w:p>
    <w:p>
      <w:pPr>
        <w:pStyle w:val="Compact"/>
        <w:numPr>
          <w:numId w:val="2"/>
          <w:ilvl w:val="0"/>
        </w:numPr>
      </w:pPr>
      <w:r>
        <w:t xml:space="preserve">Clarke, Simon: The contradictions of ‘state socialism’. In Simon Clarke et al.: What about the Workers. Workers and the Transition to Capitalism in Russia. Edgar Elgar 1993.</w:t>
      </w:r>
    </w:p>
    <w:p>
      <w:pPr>
        <w:pStyle w:val="Compact"/>
        <w:numPr>
          <w:numId w:val="2"/>
          <w:ilvl w:val="0"/>
        </w:numPr>
      </w:pPr>
      <w:r>
        <w:t xml:space="preserve">Clarke, Simon: Post-socialist trade unions: China and Russia. Industrial Relations Journal, Vol. 36, 2005/1, 2–18.</w:t>
      </w:r>
    </w:p>
    <w:p>
      <w:pPr>
        <w:pStyle w:val="Compact"/>
        <w:numPr>
          <w:numId w:val="2"/>
          <w:ilvl w:val="0"/>
        </w:numPr>
      </w:pPr>
      <w:r>
        <w:t xml:space="preserve">Collier, Stephen J (2011): Post-Soviet Social: Neoliberalism, Social Modernity, Biopolitics. Princeton: Princeton University Press.</w:t>
      </w:r>
    </w:p>
    <w:p>
      <w:pPr>
        <w:pStyle w:val="Compact"/>
        <w:numPr>
          <w:numId w:val="2"/>
          <w:ilvl w:val="0"/>
        </w:numPr>
      </w:pPr>
      <w:r>
        <w:t xml:space="preserve">Cook, Linda J.: Postcommunist Welfare states: Reform Politics in Russia and Eastern Europe. Cornell UP 2007.</w:t>
      </w:r>
    </w:p>
    <w:p>
      <w:pPr>
        <w:pStyle w:val="Compact"/>
        <w:numPr>
          <w:numId w:val="2"/>
          <w:ilvl w:val="0"/>
        </w:numPr>
      </w:pPr>
      <w:r>
        <w:t xml:space="preserve">Cook, Linda J. 2011. “Russia’s Welfare Regime: The Shift Toward Statism” in Jäppinen et al., ed., Gazing at Welfare, Gender and Agency in Post-socialist Countries. Newcastle upon Tyne: 14-35.</w:t>
      </w:r>
    </w:p>
    <w:p>
      <w:pPr>
        <w:pStyle w:val="Compact"/>
        <w:numPr>
          <w:numId w:val="2"/>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2"/>
          <w:ilvl w:val="0"/>
        </w:numPr>
      </w:pPr>
      <w:r>
        <w:t xml:space="preserve">Cooper, Julian: Reviewing Russian Strategic Planning. The Emergence of Strategy 2020. Nato Defence College Research Division 2012.</w:t>
      </w:r>
    </w:p>
    <w:p>
      <w:pPr>
        <w:pStyle w:val="Compact"/>
        <w:numPr>
          <w:numId w:val="2"/>
          <w:ilvl w:val="0"/>
        </w:numPr>
      </w:pPr>
      <w:r>
        <w:t xml:space="preserve">Creed, G. (1998): Domesticating revolution: Form socialist reform to ambivalent transition in a Bulgarian village. University Press, Penn state.</w:t>
      </w:r>
    </w:p>
    <w:p>
      <w:pPr>
        <w:pStyle w:val="Compact"/>
        <w:numPr>
          <w:numId w:val="2"/>
          <w:ilvl w:val="0"/>
        </w:numPr>
      </w:pPr>
      <w:r>
        <w:t xml:space="preserve">De Silva, M.O &amp; G. Kurlyanskaya &amp; E. Andreeva &amp; N. Golovanova: Intergovernmental Reforms in the Russian Federation: One Step Forward, Two Steps Back? Washington, DC: The World Bank.</w:t>
      </w:r>
    </w:p>
    <w:p>
      <w:pPr>
        <w:pStyle w:val="Compact"/>
        <w:numPr>
          <w:numId w:val="2"/>
          <w:ilvl w:val="0"/>
        </w:numPr>
      </w:pPr>
      <w:r>
        <w:t xml:space="preserve">Feshbach, Murray: Between the Lines of the 1979 Soviet Census. In Problems of Communism, January 1982, pp. 27–37.</w:t>
      </w:r>
    </w:p>
    <w:p>
      <w:pPr>
        <w:pStyle w:val="Compact"/>
        <w:numPr>
          <w:numId w:val="2"/>
          <w:ilvl w:val="0"/>
        </w:numPr>
      </w:pPr>
      <w:r>
        <w:t xml:space="preserve">Gaidar, Yegor: Vlast i sobstvennost; Smuty i instituty; Gosudarstvo i evolutsiya. Sankt-Peterburg, Norma 2009.</w:t>
      </w:r>
    </w:p>
    <w:p>
      <w:pPr>
        <w:pStyle w:val="Compact"/>
        <w:numPr>
          <w:numId w:val="2"/>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2"/>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2"/>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2"/>
          <w:ilvl w:val="0"/>
        </w:numPr>
      </w:pPr>
      <w:r>
        <w:t xml:space="preserve">Gorshkov, M.G. (et al.): Srednij klass v sovremennom Rossiiskom obschestve. Moscow 1999.</w:t>
      </w:r>
    </w:p>
    <w:p>
      <w:pPr>
        <w:pStyle w:val="Compact"/>
        <w:numPr>
          <w:numId w:val="2"/>
          <w:ilvl w:val="0"/>
        </w:numPr>
      </w:pPr>
      <w:r>
        <w:t xml:space="preserve">Gorshkov, M.G. (et al.) (Ed.): Srednij klass v sovremennoj Rossii. Institut sotsiologii RAN 2008.</w:t>
      </w:r>
    </w:p>
    <w:p>
      <w:pPr>
        <w:pStyle w:val="Compact"/>
        <w:numPr>
          <w:numId w:val="2"/>
          <w:ilvl w:val="0"/>
        </w:numPr>
      </w:pPr>
      <w:r>
        <w:t xml:space="preserve">Gorshkov, M.G.: Rossijskoe obschestvo v sotsiologitsheskom izmerenii. Mir Rossii, Vol. 18, 2009/2, 3-21.</w:t>
      </w:r>
    </w:p>
    <w:p>
      <w:pPr>
        <w:pStyle w:val="Compact"/>
        <w:numPr>
          <w:numId w:val="2"/>
          <w:ilvl w:val="0"/>
        </w:numPr>
      </w:pPr>
      <w:r>
        <w:t xml:space="preserve">Grigoriev, Leonid &amp; Maleva, Tatyana: Srednii klass v sovremennom rossiiskom obshchestve. Voprosy ekonomiki 2001/1, 40-50.</w:t>
      </w:r>
    </w:p>
    <w:p>
      <w:pPr>
        <w:pStyle w:val="Compact"/>
        <w:numPr>
          <w:numId w:val="2"/>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2"/>
          <w:ilvl w:val="0"/>
        </w:numPr>
      </w:pPr>
      <w:r>
        <w:t xml:space="preserve">Hemment, Julie. 2009. “Soviet-Style Neoliberalism?” Problems of Post-Communism 56 (6): 36–50.</w:t>
      </w:r>
    </w:p>
    <w:p>
      <w:pPr>
        <w:pStyle w:val="Compact"/>
        <w:numPr>
          <w:numId w:val="2"/>
          <w:ilvl w:val="0"/>
        </w:numPr>
      </w:pPr>
      <w:r>
        <w:t xml:space="preserve">Hughes, M.C.: Smashing the iron bowl. Foreign Affairs, Vol. 77, 1998/4.</w:t>
      </w:r>
    </w:p>
    <w:p>
      <w:pPr>
        <w:pStyle w:val="Compact"/>
        <w:numPr>
          <w:numId w:val="2"/>
          <w:ilvl w:val="0"/>
        </w:numPr>
      </w:pPr>
      <w:r>
        <w:t xml:space="preserve">Iarskaia-Smirnova &amp; Romanov 2012, 212</w:t>
      </w:r>
    </w:p>
    <w:p>
      <w:pPr>
        <w:pStyle w:val="Compact"/>
        <w:numPr>
          <w:numId w:val="2"/>
          <w:ilvl w:val="0"/>
        </w:numPr>
      </w:pPr>
      <w:r>
        <w:t xml:space="preserve">Izvestiia, February 10, 2014 = Materinskii kapital stanet polnost'iu zhilischnym. Johnson, Janet E., and Aino Saarinen. 2011. “Assessing Civil Society in Putin’s Russia: The Plight of Women’s Crisis Centers.” Communist and Post-Communist Studies 44 (1): 41–52.</w:t>
      </w:r>
    </w:p>
    <w:p>
      <w:pPr>
        <w:pStyle w:val="Compact"/>
        <w:numPr>
          <w:numId w:val="2"/>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2"/>
          <w:ilvl w:val="0"/>
        </w:numPr>
      </w:pPr>
      <w:r>
        <w:t xml:space="preserve">Jäppinen, Maija, Meri Kulmala, and Aino Saarinen. 2011: “Introduction: Intersections of Welfare, Gender, and Agency” in Gazing at Welfare, Gender and Agency in Post-socialist Countries. Ed. by Maija Jäppinen, Meri Kulmala &amp; Aino Saarinen. Cmabridge Scholars Publishing. Newcastle upon Tyne: 1-12.</w:t>
      </w:r>
    </w:p>
    <w:p>
      <w:pPr>
        <w:pStyle w:val="Compact"/>
        <w:numPr>
          <w:numId w:val="2"/>
          <w:ilvl w:val="0"/>
        </w:numPr>
      </w:pPr>
      <w:r>
        <w:t xml:space="preserve">Kivinen, Markku: Classes in the Making. Russian Class Structure in Transition. In Göran Therborn (ed.): Inequalities of the World. Verso 2007, 247-294.</w:t>
      </w:r>
    </w:p>
    <w:p>
      <w:pPr>
        <w:pStyle w:val="Compact"/>
        <w:numPr>
          <w:numId w:val="2"/>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2"/>
          <w:ilvl w:val="0"/>
        </w:numPr>
      </w:pPr>
      <w:r>
        <w:t xml:space="preserve">??? Kivinen, Markku. Forthcoming. “Financing the Welfare State Systems in the Russian Federation.” in Christian Aspalter Financing, ed., Welfare State Systems in Asia. Forthcoming.</w:t>
      </w:r>
    </w:p>
    <w:p>
      <w:pPr>
        <w:pStyle w:val="Compact"/>
        <w:numPr>
          <w:numId w:val="2"/>
          <w:ilvl w:val="0"/>
        </w:numPr>
      </w:pPr>
      <w:r>
        <w:t xml:space="preserve">Korpi, Walter: The Democratic Class Struggle. Routledge and Kegan Paul 1983.</w:t>
      </w:r>
    </w:p>
    <w:p>
      <w:pPr>
        <w:pStyle w:val="Compact"/>
        <w:numPr>
          <w:numId w:val="2"/>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2"/>
          <w:ilvl w:val="0"/>
        </w:numPr>
      </w:pPr>
      <w:r>
        <w:t xml:space="preserve">Kulmala, Meri (2014): ”Missä valtio loppuu ja yhteiskunta alkaa?” Idäntutkimus 1/2014, 90-97.</w:t>
      </w:r>
      <w:r>
        <w:br w:type="textWrapping"/>
      </w:r>
    </w:p>
    <w:p>
      <w:pPr>
        <w:pStyle w:val="Compact"/>
        <w:numPr>
          <w:numId w:val="2"/>
          <w:ilvl w:val="0"/>
        </w:numPr>
      </w:pPr>
      <w:r>
        <w:t xml:space="preserve">Kulmala, Meri &amp; Tarsenko, Anna (forthcoming 2015): The New Old-fashioned? Russian Veterans' Oorganizations at the Crossroads of Social Services and Social Aadvocacy. An article manuscript. In Authoritarian Modernization in Post-Soviet Russia: Dilemmas, Challenges, and Constraints. Ed. by Vladimir Gel'man. Forthcoming in 2015.</w:t>
      </w:r>
      <w:r>
        <w:br w:type="textWrapping"/>
      </w:r>
    </w:p>
    <w:p>
      <w:pPr>
        <w:pStyle w:val="Compact"/>
        <w:numPr>
          <w:numId w:val="2"/>
          <w:ilvl w:val="0"/>
        </w:numPr>
      </w:pPr>
      <w:r>
        <w:t xml:space="preserve">Korhonen, Vesa. 2013: “Fiscal flows between Moscow and the regions.” Presentation at the seminar: The Role of Regions in Russia’s Modernization. University of Helsinki. 12 December 2013.</w:t>
      </w:r>
    </w:p>
    <w:p>
      <w:pPr>
        <w:pStyle w:val="Compact"/>
        <w:numPr>
          <w:numId w:val="2"/>
          <w:ilvl w:val="0"/>
        </w:numPr>
      </w:pPr>
      <w:r>
        <w:t xml:space="preserve">Lankina, Tomila. 2003. “Managing the Grassroots: Putin’s Reform of Local Government.” Russia and Eurasia Review 2 (9).</w:t>
      </w:r>
    </w:p>
    <w:p>
      <w:pPr>
        <w:pStyle w:val="Compact"/>
        <w:numPr>
          <w:numId w:val="2"/>
          <w:ilvl w:val="0"/>
        </w:numPr>
      </w:pPr>
      <w:r>
        <w:t xml:space="preserve">Lin, Ka &amp; Kangas Olli: Social Policymaking and its institutional basis: Transition of the Chinese social security system. International Social Security Review, Vol. 59, 2/2006, 61–76.</w:t>
      </w:r>
    </w:p>
    <w:p>
      <w:pPr>
        <w:pStyle w:val="Compact"/>
        <w:numPr>
          <w:numId w:val="2"/>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2"/>
          <w:ilvl w:val="0"/>
        </w:numPr>
      </w:pPr>
      <w:r>
        <w:t xml:space="preserve">McFaul, Michael and Kathryn Stoner Weiss. 2008. “Myth of authoritarian model,” Foreign Affairs, January/February: 68-84.</w:t>
      </w:r>
    </w:p>
    <w:p>
      <w:pPr>
        <w:pStyle w:val="Compact"/>
        <w:numPr>
          <w:numId w:val="2"/>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2"/>
          <w:ilvl w:val="0"/>
        </w:numPr>
      </w:pPr>
      <w:r>
        <w:t xml:space="preserve">Merkulova, T.V.: Ekonomitsheskij rost i neravenstvo: institutsionalnyj aspect I modelirovanie vzaimosvjazi. Mir Rossii Vol. 19, 59-77.</w:t>
      </w:r>
    </w:p>
    <w:p>
      <w:pPr>
        <w:pStyle w:val="Compact"/>
        <w:numPr>
          <w:numId w:val="2"/>
          <w:ilvl w:val="0"/>
        </w:numPr>
      </w:pPr>
      <w:r>
        <w:t xml:space="preserve">OPFR: O sostojanii grazhdanskogo obshchestva v Rossiiskoi Federacii. Moskva: Obshchesvennaia palata Rossiiskoi Federacii 2008.</w:t>
      </w:r>
    </w:p>
    <w:p>
      <w:pPr>
        <w:pStyle w:val="Compact"/>
        <w:numPr>
          <w:numId w:val="2"/>
          <w:ilvl w:val="0"/>
        </w:numPr>
      </w:pPr>
      <w:r>
        <w:t xml:space="preserve">OPRF. 2012. “Ezhegodnyi doklad Obschestvennoi Palaty. O sostoianii grazhdanskogo obschesvto Rossiiskoi Federatsii za 2012 god”. Moskva: Obschestvennaia Palata Rossiiskoi Federatsii.</w:t>
      </w:r>
    </w:p>
    <w:p>
      <w:pPr>
        <w:pStyle w:val="Compact"/>
        <w:numPr>
          <w:numId w:val="2"/>
          <w:ilvl w:val="0"/>
        </w:numPr>
      </w:pPr>
      <w:r>
        <w:t xml:space="preserve">Osadchaya, G.I.: L’goty v kontekste reformirovaniya socialnoj politiki. Sotsiolgicheskie issledobaniya 2006/11, 38-42.</w:t>
      </w:r>
    </w:p>
    <w:p>
      <w:pPr>
        <w:pStyle w:val="Compact"/>
        <w:numPr>
          <w:numId w:val="2"/>
          <w:ilvl w:val="0"/>
        </w:numPr>
      </w:pPr>
      <w:r>
        <w:t xml:space="preserve">Petuhov, V.V.: Ot monetizatsiya l’got k natsionalnym projektam. Sotsiolgicheskie issledobaniya 2006/12, 22-27.</w:t>
      </w:r>
    </w:p>
    <w:p>
      <w:pPr>
        <w:pStyle w:val="Compact"/>
        <w:numPr>
          <w:numId w:val="2"/>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2"/>
          <w:ilvl w:val="0"/>
        </w:numPr>
      </w:pPr>
      <w:r>
        <w:t xml:space="preserve">Phillips, Sarah. 2009. “‘There Are No Invalids in the USSR!’ A Missing Soviet Chapter in the New Disability History.” Disability Studies Quarterly 29 (3).</w:t>
      </w:r>
    </w:p>
    <w:p>
      <w:pPr>
        <w:pStyle w:val="Compact"/>
        <w:numPr>
          <w:numId w:val="2"/>
          <w:ilvl w:val="0"/>
        </w:numPr>
      </w:pPr>
      <w:r>
        <w:t xml:space="preserve">Radaev, V.V.: Obytshnye in innovatsionnie praktiki. In T.M. Maleva (Ed.): Srednie klassi v Rossii: ekonomitsheskie i sotsialnye strategii. Gendal’f 2003.</w:t>
      </w:r>
    </w:p>
    <w:p>
      <w:pPr>
        <w:pStyle w:val="Compact"/>
        <w:numPr>
          <w:numId w:val="2"/>
          <w:ilvl w:val="0"/>
        </w:numPr>
      </w:pPr>
      <w:r>
        <w:t xml:space="preserve">Remington, Thomas F.: The Politics of Inequality in Russia. New York, Cambridge UP 2011.</w:t>
      </w:r>
    </w:p>
    <w:p>
      <w:pPr>
        <w:pStyle w:val="Compact"/>
        <w:numPr>
          <w:numId w:val="2"/>
          <w:ilvl w:val="0"/>
        </w:numPr>
      </w:pPr>
      <w:r>
        <w:t xml:space="preserve">Ristolainen, Mari. 2008. Preferred Realities: Soviet and post-Soviet Amateur Art in Novorzhev. Kikimora Publications. Helsinki: Aleksanteri Institute.</w:t>
      </w:r>
    </w:p>
    <w:p>
      <w:pPr>
        <w:pStyle w:val="Compact"/>
        <w:numPr>
          <w:numId w:val="2"/>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2"/>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2"/>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2"/>
          <w:ilvl w:val="0"/>
        </w:numPr>
      </w:pPr>
      <w:r>
        <w:t xml:space="preserve">Saarinen, Aino (2012): Welfare Crisis and Crisis Centers in Russia Today. In And They Lived Happily Ever After? Norms and Everyday Practices of Family and Parenthood in Russia and Eastern Europe. Ed. by Helene Carlbäck, Yulia Gradskova, Zhanna Kravchenko. CEU Press, Budapest and New York.</w:t>
      </w:r>
      <w:r>
        <w:br w:type="textWrapping"/>
      </w:r>
    </w:p>
    <w:p>
      <w:pPr>
        <w:pStyle w:val="Compact"/>
        <w:numPr>
          <w:numId w:val="2"/>
          <w:ilvl w:val="0"/>
        </w:numPr>
      </w:pPr>
      <w:r>
        <w:t xml:space="preserve">Sakwa, Richard: Putin Russia’s Choice. Routledge 2004.</w:t>
      </w:r>
    </w:p>
    <w:p>
      <w:pPr>
        <w:pStyle w:val="Compact"/>
        <w:numPr>
          <w:numId w:val="2"/>
          <w:ilvl w:val="0"/>
        </w:numPr>
      </w:pPr>
      <w:r>
        <w:t xml:space="preserve">Sakwa, Richard: Russian Politics and Society. Routledge 2008.</w:t>
      </w:r>
    </w:p>
    <w:p>
      <w:pPr>
        <w:pStyle w:val="Compact"/>
        <w:numPr>
          <w:numId w:val="2"/>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2"/>
          <w:ilvl w:val="0"/>
        </w:numPr>
      </w:pPr>
      <w:r>
        <w:t xml:space="preserve">Shkaratan, O.I.: Vozproizvodstvo sotsialno-ekonomitsheskogo neravenstva v postsovetskoj Rossii: dinamika urovna zhizni i polozenie sotsialnyh nizov. Mir Rossii, Vol. 17, 2008/4, 60-89.</w:t>
      </w:r>
    </w:p>
    <w:p>
      <w:pPr>
        <w:pStyle w:val="Compact"/>
        <w:numPr>
          <w:numId w:val="2"/>
          <w:ilvl w:val="0"/>
        </w:numPr>
      </w:pPr>
      <w:r>
        <w:t xml:space="preserve">Shkaratan, O.I. &amp; S.A. Injasevskij &amp; T.S. Ljubimova: Novyj srednij klass i informatsional’nye na rossijskom rynke truda. Obchshestvennye nauki i sovremennost’, 2008/1.</w:t>
      </w:r>
    </w:p>
    <w:p>
      <w:pPr>
        <w:pStyle w:val="Compact"/>
        <w:numPr>
          <w:numId w:val="2"/>
          <w:ilvl w:val="0"/>
        </w:numPr>
      </w:pPr>
      <w:r>
        <w:t xml:space="preserve">Shorrocks, Anthony &amp; Stanislav Kolenikov Poverty Trends in Russia during Transition, Wider Institute, Helsinki 2001.</w:t>
      </w:r>
    </w:p>
    <w:p>
      <w:pPr>
        <w:pStyle w:val="Compact"/>
        <w:numPr>
          <w:numId w:val="2"/>
          <w:ilvl w:val="0"/>
        </w:numPr>
      </w:pPr>
      <w:r>
        <w:t xml:space="preserve">Smith, Adrian and Rochovska, Alena (2007): Domesticating neo-liberalism: Everyday lives and the geographies of post-socialist transformations. Geoforum 38 (2007), 1163-1178.</w:t>
      </w:r>
    </w:p>
    <w:p>
      <w:pPr>
        <w:pStyle w:val="Compact"/>
        <w:numPr>
          <w:numId w:val="2"/>
          <w:ilvl w:val="0"/>
        </w:numPr>
      </w:pPr>
      <w:r>
        <w:t xml:space="preserve">Sutela, Pekka: The Economic Future of Russia. International Journal of Economic Policy in Emerging Economies 2007/1, 21–33.</w:t>
      </w:r>
    </w:p>
    <w:p>
      <w:pPr>
        <w:pStyle w:val="Compact"/>
        <w:numPr>
          <w:numId w:val="2"/>
          <w:ilvl w:val="0"/>
        </w:numPr>
      </w:pPr>
      <w:r>
        <w:t xml:space="preserve">Sutela, Pekka: The Political Economy of Putin’s Russia. London and New York, Routledge 2012.</w:t>
      </w:r>
    </w:p>
    <w:p>
      <w:pPr>
        <w:pStyle w:val="Compact"/>
        <w:numPr>
          <w:numId w:val="2"/>
          <w:ilvl w:val="0"/>
        </w:numPr>
      </w:pPr>
      <w:r>
        <w:t xml:space="preserve">Szelenyi, Iván: Urban Inequalities under State Socialism. New York, Oxford University Press 1983.</w:t>
      </w:r>
    </w:p>
    <w:p>
      <w:pPr>
        <w:pStyle w:val="Compact"/>
        <w:numPr>
          <w:numId w:val="2"/>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2"/>
          <w:ilvl w:val="0"/>
        </w:numPr>
      </w:pPr>
      <w:r>
        <w:t xml:space="preserve">UNDP: Human Development Report 2010. The Real Wealth of Nations: Pathways to Human Development. United Nations Development Programme. Palgrave Macmillan. New York.</w:t>
      </w:r>
    </w:p>
    <w:p>
      <w:pPr>
        <w:pStyle w:val="Compact"/>
        <w:numPr>
          <w:numId w:val="2"/>
          <w:ilvl w:val="0"/>
        </w:numPr>
      </w:pPr>
      <w:r>
        <w:t xml:space="preserve">UNDP: National Human Development Report for the Russian Federation 2011: Modernisation and Human Development, Moscow, UNDP Russia.</w:t>
      </w:r>
    </w:p>
    <w:p>
      <w:pPr>
        <w:pStyle w:val="Compact"/>
        <w:numPr>
          <w:numId w:val="2"/>
          <w:ilvl w:val="0"/>
        </w:numPr>
      </w:pPr>
      <w:r>
        <w:t xml:space="preserve">Vihavainen, Rosa: Homeowners’ Associations in Russia after the 2005 Housing Reform. Helsinki, Kikimora Publications 2009.</w:t>
      </w:r>
    </w:p>
    <w:p>
      <w:pPr>
        <w:pStyle w:val="Compact"/>
        <w:numPr>
          <w:numId w:val="2"/>
          <w:ilvl w:val="0"/>
        </w:numPr>
      </w:pPr>
      <w:r>
        <w:t xml:space="preserve">Vishnevsky, A.: Sberezhenie naroda ili depopulyatsiya Rossiya?Moskva, Izdatelskij dom Gosudarstvennogo universiteta Vyshey shkolu ekonomiki 2010.</w:t>
      </w:r>
    </w:p>
    <w:p>
      <w:pPr>
        <w:pStyle w:val="Compact"/>
        <w:numPr>
          <w:numId w:val="2"/>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2"/>
          <w:ilvl w:val="0"/>
        </w:numPr>
      </w:pPr>
      <w:r>
        <w:t xml:space="preserve">The World Bank: The World Bank in Russia: Russian Economic Report 18, Mach 2009, 17–22.</w:t>
      </w:r>
    </w:p>
    <w:p>
      <w:pPr>
        <w:pStyle w:val="Compact"/>
        <w:numPr>
          <w:numId w:val="2"/>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2">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4">
    <w:p>
      <w:pPr>
        <w:pStyle w:val="FootnoteText"/>
      </w:pPr>
      <w:r>
        <w:rPr>
          <w:rStyle w:val="FootnoteRef"/>
        </w:rPr>
        <w:footnoteRef/>
      </w:r>
      <w:r>
        <w:t xml:space="preserve">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886069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f6704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cp:coreProperties>
</file>