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convertible</w:t>
      </w:r>
      <w:r>
        <w:t xml:space="preserve"> </w:t>
      </w:r>
      <w:r>
        <w:t xml:space="preserve">documentation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  <w:r>
        <w:t xml:space="preserve"> </w:t>
      </w:r>
      <w:r>
        <w:t xml:space="preserve">&amp;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8,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Content of this doc is copy-pasted from from</w:t>
      </w:r>
      <w:r>
        <w:t xml:space="preserve"> </w:t>
      </w:r>
      <w:hyperlink r:id="rId22">
        <w:r>
          <w:rPr>
            <w:rStyle w:val="Link"/>
          </w:rPr>
          <w:t xml:space="preserve">Pandoc Markdown</w:t>
        </w:r>
      </w:hyperlink>
      <w:r>
        <w:t xml:space="preserve">-documentation by Rstudio, which is basicly a reproduction of most of the pandoc markdown documentation on the Pandoc website, and is © 2006-2013 John MacFarlane (jgm at berkeley dot edu), released under the GPL, version 2 or greater.</w:t>
      </w:r>
    </w:p>
    <w:p>
      <w:r>
        <w:t xml:space="preserve">Pandoc understands an extended and slightly revised version of John Gruber’s original markdown syntax. This document explains the syntax, noting differences from standard markdown.</w:t>
      </w:r>
    </w:p>
    <w:p>
      <w:pPr>
        <w:pStyle w:val="Heading1"/>
      </w:pPr>
      <w:bookmarkStart w:id="23" w:name="lists"/>
      <w:bookmarkEnd w:id="23"/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fruits</w:t>
      </w:r>
    </w:p>
    <w:p>
      <w:pPr>
        <w:pStyle w:val="Compact"/>
        <w:numPr>
          <w:numId w:val="1002"/>
          <w:ilvl w:val="1"/>
        </w:numPr>
      </w:pPr>
      <w:r>
        <w:t xml:space="preserve">apples</w:t>
      </w:r>
    </w:p>
    <w:p>
      <w:pPr>
        <w:pStyle w:val="Compact"/>
        <w:numPr>
          <w:numId w:val="1003"/>
          <w:ilvl w:val="2"/>
        </w:numPr>
      </w:pPr>
      <w:r>
        <w:t xml:space="preserve">macintosh</w:t>
      </w:r>
    </w:p>
    <w:p>
      <w:pPr>
        <w:pStyle w:val="Compact"/>
        <w:numPr>
          <w:numId w:val="1003"/>
          <w:ilvl w:val="2"/>
        </w:numPr>
      </w:pPr>
      <w:r>
        <w:t xml:space="preserve">red delicious</w:t>
      </w:r>
    </w:p>
    <w:p>
      <w:pPr>
        <w:pStyle w:val="Compact"/>
        <w:numPr>
          <w:numId w:val="1002"/>
          <w:ilvl w:val="1"/>
        </w:numPr>
      </w:pPr>
      <w:r>
        <w:t xml:space="preserve">pears</w:t>
      </w:r>
    </w:p>
    <w:p>
      <w:pPr>
        <w:pStyle w:val="Compact"/>
        <w:numPr>
          <w:numId w:val="1002"/>
          <w:ilvl w:val="1"/>
        </w:numPr>
      </w:pPr>
      <w:r>
        <w:t xml:space="preserve">peaches</w:t>
      </w:r>
    </w:p>
    <w:p>
      <w:pPr>
        <w:pStyle w:val="Compact"/>
        <w:numPr>
          <w:numId w:val="1001"/>
          <w:ilvl w:val="0"/>
        </w:numPr>
      </w:pPr>
      <w:r>
        <w:t xml:space="preserve">vegetables</w:t>
      </w:r>
    </w:p>
    <w:p>
      <w:pPr>
        <w:pStyle w:val="Compact"/>
        <w:numPr>
          <w:numId w:val="1004"/>
          <w:ilvl w:val="1"/>
        </w:numPr>
      </w:pPr>
      <w:r>
        <w:t xml:space="preserve">broccoli</w:t>
      </w:r>
    </w:p>
    <w:p>
      <w:pPr>
        <w:pStyle w:val="Compact"/>
        <w:numPr>
          <w:numId w:val="1004"/>
          <w:ilvl w:val="1"/>
        </w:numPr>
      </w:pPr>
      <w:r>
        <w:t xml:space="preserve">chard</w:t>
      </w:r>
    </w:p>
    <w:p>
      <w:pPr>
        <w:pStyle w:val="Heading1"/>
      </w:pPr>
      <w:bookmarkStart w:id="24" w:name="images"/>
      <w:bookmarkEnd w:id="24"/>
      <w:r>
        <w:t xml:space="preserve">Images</w:t>
      </w:r>
    </w:p>
    <w:p>
      <w:r>
        <w:drawing>
          <wp:inline>
            <wp:extent cx="5440680" cy="8255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www.qog.pol.gu.se/digitalAssets/1349/1349208_qogeng_webhea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2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is placed here</w:t>
      </w:r>
    </w:p>
    <w:p>
      <w:r>
        <w:drawing>
          <wp:inline>
            <wp:extent cx="3111500" cy="173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pendence_of_Brazil_188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Picture of the day in Wikimedia Commons</w:t>
      </w:r>
      <w:r>
        <w:t xml:space="preserve"> </w:t>
      </w:r>
      <w:hyperlink r:id="rId29">
        <w:r>
          <w:rPr>
            <w:rStyle w:val="Link"/>
          </w:rPr>
          <w:t xml:space="preserve">See</w:t>
        </w:r>
      </w:hyperlink>
    </w:p>
    <w:p>
      <w:pPr>
        <w:pStyle w:val="Heading1"/>
      </w:pPr>
      <w:bookmarkStart w:id="30" w:name="tables"/>
      <w:bookmarkEnd w:id="30"/>
      <w:r>
        <w:t xml:space="preserve">Tables</w:t>
      </w:r>
    </w:p>
    <w:p>
      <w:pPr>
        <w:pStyle w:val="Heading2"/>
      </w:pPr>
      <w:bookmarkStart w:id="31" w:name="simple-tables"/>
      <w:bookmarkEnd w:id="31"/>
      <w:r>
        <w:t xml:space="preserve">Simple tables</w:t>
      </w:r>
    </w:p>
    <w:p>
      <w:r>
        <w:t xml:space="preserve">Four kinds of tables may be used. The first three kinds presuppose the use of a fixed-width font, such as Courier. The fourth kind can be used with proportionally spaced fonts, as it does not require lining up columns. Simple tables</w:t>
      </w:r>
    </w:p>
    <w:tbl>
      <w:tblPr>
        <w:tblStyle w:val="TableNormal"/>
        <w:tblW w:type="pct" w:w="0.0"/>
        <w:tblCaption w:val="Demonstration of simple table syntax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Demonstration of simple table syntax.</w:t>
      </w:r>
    </w:p>
    <w:p>
      <w:pPr>
        <w:pStyle w:val="Heading2"/>
      </w:pPr>
      <w:bookmarkStart w:id="32" w:name="multiline-tables"/>
      <w:bookmarkEnd w:id="32"/>
      <w:r>
        <w:t xml:space="preserve">Multiline tables</w:t>
      </w:r>
    </w:p>
    <w:tbl>
      <w:tblPr>
        <w:tblStyle w:val="TableNormal"/>
        <w:tblW w:type="pct" w:w="4236.111111111111"/>
        <w:tblCaption w:val="Here's the caption. It, too, may span multiple lines."/>
      </w:tblPr>
      <w:tblGrid>
        <w:gridCol w:w="1320"/>
        <w:gridCol w:w="880"/>
        <w:gridCol w:w="1760"/>
        <w:gridCol w:w="27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 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 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 Aligned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 spans multiple lines.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Here's another one. Note the blank line between rows.</w:t>
            </w:r>
          </w:p>
        </w:tc>
      </w:tr>
    </w:tbl>
    <w:p>
      <w:pPr>
        <w:pStyle w:val="TableCaption"/>
      </w:pPr>
      <w:r>
        <w:t xml:space="preserve">Here's the caption. It, too, may span multiple lines.</w:t>
      </w:r>
    </w:p>
    <w:p>
      <w:pPr>
        <w:pStyle w:val="Heading1"/>
      </w:pPr>
      <w:bookmarkStart w:id="33" w:name="footnotes"/>
      <w:bookmarkEnd w:id="33"/>
      <w:r>
        <w:t xml:space="preserve">Footnotes</w:t>
      </w:r>
    </w:p>
    <w:p>
      <w:r>
        <w:t xml:space="preserve">Here is a footnote reference,</w:t>
      </w:r>
      <w:r>
        <w:rPr>
          <w:rStyle w:val="FootnoteRef"/>
        </w:rPr>
        <w:footnoteReference w:id="34"/>
      </w:r>
      <w:r>
        <w:t xml:space="preserve"> </w:t>
      </w:r>
      <w:r>
        <w:t xml:space="preserve">and another.</w:t>
      </w:r>
      <w:r>
        <w:rPr>
          <w:rStyle w:val="FootnoteRef"/>
        </w:rPr>
        <w:footnoteReference w:id="35"/>
      </w:r>
    </w:p>
    <w:p>
      <w:r>
        <w:t xml:space="preserve">This paragraph won't be part of the note, because it isn't indented.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34">
    <w:p>
      <w:pPr>
        <w:pStyle w:val="FootnoteText"/>
      </w:pPr>
      <w:r>
        <w:rPr>
          <w:rStyle w:val="FootnoteRef"/>
        </w:rPr>
        <w:footnoteRef/>
      </w:r>
      <w:r>
        <w:t xml:space="preserve">Here is the footnote.</w:t>
      </w:r>
    </w:p>
  </w:footnote>
  <w:footnote w:id="35">
    <w:p>
      <w:pPr>
        <w:pStyle w:val="FootnoteText"/>
      </w:pPr>
      <w:r>
        <w:rPr>
          <w:rStyle w:val="FootnoteRef"/>
        </w:rPr>
        <w:footnoteRef/>
      </w:r>
      <w:r>
        <w:t xml:space="preserve">Here's one with multiple blocks.</w:t>
      </w:r>
    </w:p>
    <w:p>
      <w:pPr>
        <w:pStyle w:val="FootnoteText"/>
      </w:pPr>
      <w:r>
        <w:t xml:space="preserve">Subsequent paragraphs are indented to show that they belong to the previous footnote.</w:t>
      </w:r>
    </w:p>
    <w:p>
      <w:pPr>
        <w:pStyle w:val="SourceCode"/>
        <w:pStyle w:val="FootnoteText"/>
      </w:pPr>
      <w:r>
        <w:rPr>
          <w:rStyle w:val="VerbatimChar"/>
        </w:rPr>
        <w:t xml:space="preserve">{ some.code }</w:t>
      </w:r>
    </w:p>
    <w:p>
      <w:pPr>
        <w:pStyle w:val="FootnoteText"/>
      </w:pPr>
      <w:r>
        <w:t xml:space="preserve">The whole paragraph can be indented, or just the first line. In this way, multi-paragraph footnotes work like multi-paragraph list items.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e949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9c88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image" Id="rId27" Target="media/rId27.png" /><Relationship Type="http://schemas.openxmlformats.org/officeDocument/2006/relationships/hyperlink" Id="rId29" Target="http://commons.wikimedia.org/wiki/Main_Page" TargetMode="External" /><Relationship Type="http://schemas.openxmlformats.org/officeDocument/2006/relationships/hyperlink" Id="rId22" Target="http://rmarkdown.rstudio.com/authoring_pandoc_markdow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commons.wikimedia.org/wiki/Main_Page" TargetMode="External" /><Relationship Type="http://schemas.openxmlformats.org/officeDocument/2006/relationships/hyperlink" Id="rId22" Target="http://rmarkdown.rstudio.com/authoring_pandoc_markdow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a simple convertible documentation with Markdown &amp; Pandoc</dc:title>
  <dc:creator>Author Name</dc:creator>
</cp:coreProperties>
</file>