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MUUD Privacy Policy</w:t>
      </w:r>
    </w:p>
    <w:p>
      <w:pPr/>
      <w:r>
        <w:t xml:space="preserve">Last updated: September 24, 2026. Effective date: October 26, 2026 for existing users; for new users, on publication. This Policy replaces the privacy notice dated July 20, 2024.</w:t>
      </w:r>
    </w:p>
    <w:p>
      <w:pPr/>
      <w:r>
        <w:t xml:space="preserve">This Privacy Policy explains how MUUD collects, uses, shares and protects personal data when schools, companies and people use the MUUD website (https://muud.app), the MUUD applications for phone, tablet and web, including school.muud.app and business.muud.app, and related services (the "Services"). Capitalized terms not defined here have the meaning given in the MUUD Terms of Service.</w:t>
      </w:r>
    </w:p>
    <w:p>
      <w:pPr>
        <w:pStyle w:val="Heading2"/>
      </w:pPr>
      <w:r>
        <w:t xml:space="preserve">Summary</w:t>
      </w:r>
    </w:p>
    <w:p>
      <w:pPr>
        <w:pStyle w:val="ListParagraph"/>
        <w:numPr>
          <w:ilvl w:val="0"/>
          <w:numId w:val="2"/>
        </w:numPr>
      </w:pPr>
      <w:r>
        <w:rPr>
          <w:b/>
        </w:rPr>
        <w:t xml:space="preserve">Your school or employer decides.</w:t>
      </w:r>
      <w:r>
        <w:t xml:space="preserve"> When you use MUUD through a school or company, that organization is the controller of your data and MUUD processes it on its behalf and on its instructions.</w:t>
      </w:r>
    </w:p>
    <w:p>
      <w:pPr>
        <w:pStyle w:val="ListParagraph"/>
        <w:numPr>
          <w:ilvl w:val="0"/>
          <w:numId w:val="2"/>
        </w:numPr>
      </w:pPr>
      <w:r>
        <w:rPr>
          <w:b/>
        </w:rPr>
        <w:t xml:space="preserve">Free text stays private.</w:t>
      </w:r>
      <w:r>
        <w:t xml:space="preserve"> What a student writes in free text is never shown to school staff. Staff see indicators and alerts, so that a trained adult can check in with the student.</w:t>
      </w:r>
    </w:p>
    <w:p>
      <w:pPr>
        <w:pStyle w:val="ListParagraph"/>
        <w:numPr>
          <w:ilvl w:val="0"/>
          <w:numId w:val="2"/>
        </w:numPr>
      </w:pPr>
      <w:r>
        <w:rPr>
          <w:b/>
        </w:rPr>
        <w:t xml:space="preserve">No selling, no ads, no AI training.</w:t>
      </w:r>
      <w:r>
        <w:t xml:space="preserve"> We do not sell personal data, show advertising, or use your data to train AI models.</w:t>
      </w:r>
    </w:p>
    <w:p>
      <w:pPr>
        <w:pStyle w:val="ListParagraph"/>
        <w:numPr>
          <w:ilvl w:val="0"/>
          <w:numId w:val="2"/>
        </w:numPr>
      </w:pPr>
      <w:r>
        <w:rPr>
          <w:b/>
        </w:rPr>
        <w:t xml:space="preserve">Hosted in the United States.</w:t>
      </w:r>
      <w:r>
        <w:t xml:space="preserve"> All data processed through the Services is stored in the United States. Our team in Chile accesses it remotely.</w:t>
      </w:r>
    </w:p>
    <w:p>
      <w:pPr>
        <w:pStyle w:val="ListParagraph"/>
        <w:numPr>
          <w:ilvl w:val="0"/>
          <w:numId w:val="2"/>
        </w:numPr>
      </w:pPr>
      <w:r>
        <w:rPr>
          <w:b/>
        </w:rPr>
        <w:t xml:space="preserve">Your rights.</w:t>
      </w:r>
      <w:r>
        <w:t xml:space="preserve"> You can ask to access, correct, delete or export your data, among other rights, by writing to soporte@muud.app or through our European representative, DataRep.</w:t>
      </w:r>
    </w:p>
    <w:p>
      <w:pPr>
        <w:pStyle w:val="Heading2"/>
      </w:pPr>
      <w:r>
        <w:t xml:space="preserve">1. Who We Are</w:t>
      </w:r>
    </w:p>
    <w:p>
      <w:pPr/>
      <w:r>
        <w:t xml:space="preserve">MUUD SpA ("MUUD", "we", "us"), Chilean tax ID (RUT) 77.634.166-5, registered office at Av. Presidente Kennedy 5600, Of. 507, Vitacura, Santiago, Chile, provides the Services. For customers whose Order is signed with MUUD Inc., a Delaware corporation wholly owned by MUUD SpA, MUUD Inc. is the contracting entity; both apply this Policy.</w:t>
      </w:r>
    </w:p>
    <w:p>
      <w:pPr/>
      <w:r>
        <w:rPr>
          <w:b/>
        </w:rPr>
        <w:t xml:space="preserve">Contact for privacy matters:</w:t>
      </w:r>
      <w:r>
        <w:t xml:space="preserve"> soporte@muud.app, or the data request form linked as "Delete account" in the footer of https://muud.app.</w:t>
      </w:r>
    </w:p>
    <w:p>
      <w:pPr/>
      <w:r>
        <w:rPr>
          <w:b/>
        </w:rPr>
        <w:t xml:space="preserve">Data protection officer.</w:t>
      </w:r>
      <w:r>
        <w:t xml:space="preserve"> MUUD has not appointed a data protection officer, because none of the conditions of GDPR Art. 37(1) or LOPDGDD Art. 34 applies to its processing. Privacy matters are handled internally by MUUD's Privacy Officer through the contact above. For the same reasons of role and scope, MUUD has not appointed an encarregado under the Brazilian LGPD (Section 13.3).</w:t>
      </w:r>
    </w:p>
    <w:p>
      <w:pPr/>
      <w:r>
        <w:rPr>
          <w:b/>
        </w:rPr>
        <w:t xml:space="preserve">Representative in the EU/EEA, the United Kingdom and Switzerland.</w:t>
      </w:r>
      <w:r>
        <w:t xml:space="preserve"> Under GDPR Art. 27, UK GDPR Art. 27 and Art. 14 of the Swiss FADP, MUUD has appointed Data Protection Representative Limited, trading as DataRep, 77 Camden Street Lower, Dublin, D02 XE80, Ireland. See Section 12.1 for how to contact DataRep in your country.</w:t>
      </w:r>
    </w:p>
    <w:p>
      <w:pPr>
        <w:pStyle w:val="Heading2"/>
      </w:pPr>
      <w:r>
        <w:t xml:space="preserve">2. Scope and Our Role</w:t>
      </w:r>
    </w:p>
    <w:p>
      <w:pPr/>
      <w:r>
        <w:t xml:space="preserve">MUUD acts in two different roles, and this Policy explains both.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Who decides how data is used (controller)</w:t>
            </w:r>
          </w:p>
        </w:tc>
        <w:tc>
          <w:tcPr>
            <w:tcW w:w="3120" w:type="dxa"/>
            <w:shd w:val="clear" w:color="auto" w:fill="F2F2F2"/>
          </w:tcPr>
          <w:p>
            <w:pPr/>
            <w:r>
              <w:t xml:space="preserve">MUUD's role</w:t>
            </w:r>
          </w:p>
        </w:tc>
      </w:tr>
      <w:tr>
        <w:tc>
          <w:tcPr>
            <w:tcW w:w="3120" w:type="dxa"/>
          </w:tcPr>
          <w:p>
            <w:pPr/>
            <w:r>
              <w:t xml:space="preserve">Students, teachers and staff using MUUD through their school</w:t>
            </w:r>
          </w:p>
        </w:tc>
        <w:tc>
          <w:tcPr>
            <w:tcW w:w="3120" w:type="dxa"/>
          </w:tcPr>
          <w:p>
            <w:pPr/>
            <w:r>
              <w:t xml:space="preserve">The school or its owner (sostenedor), or the school district</w:t>
            </w:r>
          </w:p>
        </w:tc>
        <w:tc>
          <w:tcPr>
            <w:tcW w:w="3120" w:type="dxa"/>
          </w:tcPr>
          <w:p>
            <w:pPr/>
            <w:r>
              <w:t xml:space="preserve">Processor (encargado, operador), under a Data Processing Addendum</w:t>
            </w:r>
          </w:p>
        </w:tc>
      </w:tr>
      <w:tr>
        <w:tc>
          <w:tcPr>
            <w:tcW w:w="3120" w:type="dxa"/>
          </w:tcPr>
          <w:p>
            <w:pPr/>
            <w:r>
              <w:t xml:space="preserve">Employees and team members using MUUD through their employer</w:t>
            </w:r>
          </w:p>
        </w:tc>
        <w:tc>
          <w:tcPr>
            <w:tcW w:w="3120" w:type="dxa"/>
          </w:tcPr>
          <w:p>
            <w:pPr/>
            <w:r>
              <w:t xml:space="preserve">The employer</w:t>
            </w:r>
          </w:p>
        </w:tc>
        <w:tc>
          <w:tcPr>
            <w:tcW w:w="3120" w:type="dxa"/>
          </w:tcPr>
          <w:p>
            <w:pPr/>
            <w:r>
              <w:t xml:space="preserve">Processor, under a Data Processing Addendum</w:t>
            </w:r>
          </w:p>
        </w:tc>
      </w:tr>
      <w:tr>
        <w:tc>
          <w:tcPr>
            <w:tcW w:w="3120" w:type="dxa"/>
          </w:tcPr>
          <w:p>
            <w:pPr/>
            <w:r>
              <w:t xml:space="preserve">Parents or guardians, where the school enables guardian access</w:t>
            </w:r>
          </w:p>
        </w:tc>
        <w:tc>
          <w:tcPr>
            <w:tcW w:w="3120" w:type="dxa"/>
          </w:tcPr>
          <w:p>
            <w:pPr/>
            <w:r>
              <w:t xml:space="preserve">The school</w:t>
            </w:r>
          </w:p>
        </w:tc>
        <w:tc>
          <w:tcPr>
            <w:tcW w:w="3120" w:type="dxa"/>
          </w:tcPr>
          <w:p>
            <w:pPr/>
            <w:r>
              <w:t xml:space="preserve">Processor</w:t>
            </w:r>
          </w:p>
        </w:tc>
      </w:tr>
      <w:tr>
        <w:tc>
          <w:tcPr>
            <w:tcW w:w="3120" w:type="dxa"/>
          </w:tcPr>
          <w:p>
            <w:pPr/>
            <w:r>
              <w:t xml:space="preserve">Individual Users with their own account</w:t>
            </w:r>
          </w:p>
        </w:tc>
        <w:tc>
          <w:tcPr>
            <w:tcW w:w="3120" w:type="dxa"/>
          </w:tcPr>
          <w:p>
            <w:pPr/>
            <w:r>
              <w:t xml:space="preserve">MUUD</w:t>
            </w:r>
          </w:p>
        </w:tc>
        <w:tc>
          <w:tcPr>
            <w:tcW w:w="3120" w:type="dxa"/>
          </w:tcPr>
          <w:p>
            <w:pPr/>
            <w:r>
              <w:t xml:space="preserve">Controller</w:t>
            </w:r>
          </w:p>
        </w:tc>
      </w:tr>
      <w:tr>
        <w:tc>
          <w:tcPr>
            <w:tcW w:w="3120" w:type="dxa"/>
          </w:tcPr>
          <w:p>
            <w:pPr/>
            <w:r>
              <w:t xml:space="preserve">Customer contacts, prospects, website visitors and people who contact support</w:t>
            </w:r>
          </w:p>
        </w:tc>
        <w:tc>
          <w:tcPr>
            <w:tcW w:w="3120" w:type="dxa"/>
          </w:tcPr>
          <w:p>
            <w:pPr/>
            <w:r>
              <w:t xml:space="preserve">MUUD</w:t>
            </w:r>
          </w:p>
        </w:tc>
        <w:tc>
          <w:tcPr>
            <w:tcW w:w="3120" w:type="dxa"/>
          </w:tcPr>
          <w:p>
            <w:pPr/>
            <w:r>
              <w:t xml:space="preserve">Controller</w:t>
            </w:r>
          </w:p>
        </w:tc>
      </w:tr>
      <w:tr>
        <w:tc>
          <w:tcPr>
            <w:tcW w:w="3120" w:type="dxa"/>
          </w:tcPr>
          <w:p>
            <w:pPr/>
            <w:r>
              <w:t xml:space="preserve">Security, fraud prevention and compliance with MUUD's legal obligations</w:t>
            </w:r>
          </w:p>
        </w:tc>
        <w:tc>
          <w:tcPr>
            <w:tcW w:w="3120" w:type="dxa"/>
          </w:tcPr>
          <w:p>
            <w:pPr/>
            <w:r>
              <w:t xml:space="preserve">MUUD</w:t>
            </w:r>
          </w:p>
        </w:tc>
        <w:tc>
          <w:tcPr>
            <w:tcW w:w="3120" w:type="dxa"/>
          </w:tcPr>
          <w:p>
            <w:pPr/>
            <w:r>
              <w:t xml:space="preserve">Controller</w:t>
            </w:r>
          </w:p>
        </w:tc>
      </w:tr>
    </w:tbl>
    <w:p>
      <w:pPr/>
      <w:r>
        <w:t xml:space="preserve">Where MUUD is a processor, the school or employer's own privacy notice also applies, and requests about your data will be handled together with that organization (Section 12).</w:t>
      </w:r>
    </w:p>
    <w:p>
      <w:pPr/>
      <w:r>
        <w:t xml:space="preserve">This Policy does not cover protected health information processed for healthcare providers in the United States under a HIPAA Business Associate Agreement. That information is governed by the agreement with the provider and by the provider's Notice of Privacy Practices.</w:t>
      </w:r>
    </w:p>
    <w:p>
      <w:pPr>
        <w:pStyle w:val="Heading2"/>
      </w:pPr>
      <w:r>
        <w:t xml:space="preserve">3. Personal Data We Process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Who</w:t>
            </w:r>
          </w:p>
        </w:tc>
        <w:tc>
          <w:tcPr>
            <w:tcW w:w="3120" w:type="dxa"/>
            <w:shd w:val="clear" w:color="auto" w:fill="F2F2F2"/>
          </w:tcPr>
          <w:p>
            <w:pPr/>
            <w:r>
              <w:t xml:space="preserve">Data</w:t>
            </w:r>
          </w:p>
        </w:tc>
        <w:tc>
          <w:tcPr>
            <w:tcW w:w="3120" w:type="dxa"/>
            <w:shd w:val="clear" w:color="auto" w:fill="F2F2F2"/>
          </w:tcPr>
          <w:p>
            <w:pPr/>
            <w:r>
              <w:t xml:space="preserve">Where it comes from</w:t>
            </w:r>
          </w:p>
        </w:tc>
      </w:tr>
      <w:tr>
        <w:tc>
          <w:tcPr>
            <w:tcW w:w="3120" w:type="dxa"/>
          </w:tcPr>
          <w:p>
            <w:pPr/>
            <w:r>
              <w:t xml:space="preserve">Students</w:t>
            </w:r>
          </w:p>
        </w:tc>
        <w:tc>
          <w:tcPr>
            <w:tcW w:w="3120" w:type="dxa"/>
          </w:tcPr>
          <w:p>
            <w:pPr/>
            <w:r>
              <w:t xml:space="preserve">Identification: name, school, course or grade, and the username or email assigned by the school. Account credentials. Check-in responses (emotions selected and answers), messages exchanged with the conversational check-in assistant, free-text entries. Data generated by the Services: wellbeing indicators, alerts and history summaries. Technical data (see below)</w:t>
            </w:r>
          </w:p>
        </w:tc>
        <w:tc>
          <w:tcPr>
            <w:tcW w:w="3120" w:type="dxa"/>
          </w:tcPr>
          <w:p>
            <w:pPr/>
            <w:r>
              <w:t xml:space="preserve">The school's roster, the student, and the Services</w:t>
            </w:r>
          </w:p>
        </w:tc>
      </w:tr>
      <w:tr>
        <w:tc>
          <w:tcPr>
            <w:tcW w:w="3120" w:type="dxa"/>
          </w:tcPr>
          <w:p>
            <w:pPr/>
            <w:r>
              <w:t xml:space="preserve">Teachers and school staff</w:t>
            </w:r>
          </w:p>
        </w:tc>
        <w:tc>
          <w:tcPr>
            <w:tcW w:w="3120" w:type="dxa"/>
          </w:tcPr>
          <w:p>
            <w:pPr/>
            <w:r>
              <w:t xml:space="preserve">Name, email, role, courses assigned, their own check-ins if the school enables them, and their activity in the platform, such as viewing and following up alerts</w:t>
            </w:r>
          </w:p>
        </w:tc>
        <w:tc>
          <w:tcPr>
            <w:tcW w:w="3120" w:type="dxa"/>
          </w:tcPr>
          <w:p>
            <w:pPr/>
            <w:r>
              <w:t xml:space="preserve">The school and the staff member</w:t>
            </w:r>
          </w:p>
        </w:tc>
      </w:tr>
      <w:tr>
        <w:tc>
          <w:tcPr>
            <w:tcW w:w="3120" w:type="dxa"/>
          </w:tcPr>
          <w:p>
            <w:pPr/>
            <w:r>
              <w:t xml:space="preserve">Employees of workplace customers</w:t>
            </w:r>
          </w:p>
        </w:tc>
        <w:tc>
          <w:tcPr>
            <w:tcW w:w="3120" w:type="dxa"/>
          </w:tcPr>
          <w:p>
            <w:pPr/>
            <w:r>
              <w:t xml:space="preserve">Name, work email, team or area, check-in responses, messages with the check-in assistant, free-text entries, indicators and alerts</w:t>
            </w:r>
          </w:p>
        </w:tc>
        <w:tc>
          <w:tcPr>
            <w:tcW w:w="3120" w:type="dxa"/>
          </w:tcPr>
          <w:p>
            <w:pPr/>
            <w:r>
              <w:t xml:space="preserve">The employer and the employee</w:t>
            </w:r>
          </w:p>
        </w:tc>
      </w:tr>
      <w:tr>
        <w:tc>
          <w:tcPr>
            <w:tcW w:w="3120" w:type="dxa"/>
          </w:tcPr>
          <w:p>
            <w:pPr/>
            <w:r>
              <w:t xml:space="preserve">Parents and guardians (only where the school enables it)</w:t>
            </w:r>
          </w:p>
        </w:tc>
        <w:tc>
          <w:tcPr>
            <w:tcW w:w="3120" w:type="dxa"/>
          </w:tcPr>
          <w:p>
            <w:pPr/>
            <w:r>
              <w:t xml:space="preserve">Name, email, relationship with the student</w:t>
            </w:r>
          </w:p>
        </w:tc>
        <w:tc>
          <w:tcPr>
            <w:tcW w:w="3120" w:type="dxa"/>
          </w:tcPr>
          <w:p>
            <w:pPr/>
            <w:r>
              <w:t xml:space="preserve">The school and the guardian</w:t>
            </w:r>
          </w:p>
        </w:tc>
      </w:tr>
      <w:tr>
        <w:tc>
          <w:tcPr>
            <w:tcW w:w="3120" w:type="dxa"/>
          </w:tcPr>
          <w:p>
            <w:pPr/>
            <w:r>
              <w:t xml:space="preserve">Individual Users</w:t>
            </w:r>
          </w:p>
        </w:tc>
        <w:tc>
          <w:tcPr>
            <w:tcW w:w="3120" w:type="dxa"/>
          </w:tcPr>
          <w:p>
            <w:pPr/>
            <w:r>
              <w:t xml:space="preserve">Name, email, credentials, check-ins, messages with the assistant, free-text entries, indicators, purchase confirmations from the app store (we never receive card numbers)</w:t>
            </w:r>
          </w:p>
        </w:tc>
        <w:tc>
          <w:tcPr>
            <w:tcW w:w="3120" w:type="dxa"/>
          </w:tcPr>
          <w:p>
            <w:pPr/>
            <w:r>
              <w:t xml:space="preserve">The user and the app store</w:t>
            </w:r>
          </w:p>
        </w:tc>
      </w:tr>
      <w:tr>
        <w:tc>
          <w:tcPr>
            <w:tcW w:w="3120" w:type="dxa"/>
          </w:tcPr>
          <w:p>
            <w:pPr/>
            <w:r>
              <w:t xml:space="preserve">Customer contacts and prospects</w:t>
            </w:r>
          </w:p>
        </w:tc>
        <w:tc>
          <w:tcPr>
            <w:tcW w:w="3120" w:type="dxa"/>
          </w:tcPr>
          <w:p>
            <w:pPr/>
            <w:r>
              <w:t xml:space="preserve">Name, position, organization, work email and phone, and our communications with them</w:t>
            </w:r>
          </w:p>
        </w:tc>
        <w:tc>
          <w:tcPr>
            <w:tcW w:w="3120" w:type="dxa"/>
          </w:tcPr>
          <w:p>
            <w:pPr/>
            <w:r>
              <w:t xml:space="preserve">The person, their organization, and publicly available professional sources</w:t>
            </w:r>
          </w:p>
        </w:tc>
      </w:tr>
      <w:tr>
        <w:tc>
          <w:tcPr>
            <w:tcW w:w="3120" w:type="dxa"/>
          </w:tcPr>
          <w:p>
            <w:pPr/>
            <w:r>
              <w:t xml:space="preserve">Website visitors</w:t>
            </w:r>
          </w:p>
        </w:tc>
        <w:tc>
          <w:tcPr>
            <w:tcW w:w="3120" w:type="dxa"/>
          </w:tcPr>
          <w:p>
            <w:pPr/>
            <w:r>
              <w:t xml:space="preserve">IP address, browser and device type, pages visited, referral source, cookie data (Section 14)</w:t>
            </w:r>
          </w:p>
        </w:tc>
        <w:tc>
          <w:tcPr>
            <w:tcW w:w="3120" w:type="dxa"/>
          </w:tcPr>
          <w:p>
            <w:pPr/>
            <w:r>
              <w:t xml:space="preserve">Automatically, from the browser</w:t>
            </w:r>
          </w:p>
        </w:tc>
      </w:tr>
      <w:tr>
        <w:tc>
          <w:tcPr>
            <w:tcW w:w="3120" w:type="dxa"/>
          </w:tcPr>
          <w:p>
            <w:pPr/>
            <w:r>
              <w:t xml:space="preserve">People who contact us or make a data request</w:t>
            </w:r>
          </w:p>
        </w:tc>
        <w:tc>
          <w:tcPr>
            <w:tcW w:w="3120" w:type="dxa"/>
          </w:tcPr>
          <w:p>
            <w:pPr/>
            <w:r>
              <w:t xml:space="preserve">Contact details, content of the request, information needed to verify identity or authority, and the outcome of the request</w:t>
            </w:r>
          </w:p>
        </w:tc>
        <w:tc>
          <w:tcPr>
            <w:tcW w:w="3120" w:type="dxa"/>
          </w:tcPr>
          <w:p>
            <w:pPr/>
            <w:r>
              <w:t xml:space="preserve">The person making the request</w:t>
            </w:r>
          </w:p>
        </w:tc>
      </w:tr>
    </w:tbl>
    <w:p>
      <w:pPr/>
      <w:r>
        <w:rPr>
          <w:b/>
        </w:rPr>
        <w:t xml:space="preserve">Technical data</w:t>
      </w:r>
      <w:r>
        <w:t xml:space="preserve"> from all App users: device type and model, operating system, app version, language, IP address, timestamps, error reports and security logs. We use it to operate, secure and support the Services.</w:t>
      </w:r>
    </w:p>
    <w:p>
      <w:pPr/>
      <w:r>
        <w:rPr>
          <w:b/>
        </w:rPr>
        <w:t xml:space="preserve">Camera and microphone.</w:t>
      </w:r>
      <w:r>
        <w:t xml:space="preserve"> The App asks for access to the camera only so that students can scan the QR code that signs them in. The camera image is used on the device to read the code and is not stored or sent to MUUD. The App asks for access to the microphone only if a user chooses to dictate instead of typing, in the emotions journal or when reflecting with Muudy, the check-in assistant. The audio is converted to text by the speech recognition service of the device's operating system or, in the web version, of the browser (for example, Apple or Google). MUUD receives only the resulting text, which is treated like any other free-text entry, and does not receive, store or analyze the audio. Both permissions are optional, are requested only when the feature is used, and can be withdrawn at any time in the device settings.</w:t>
      </w:r>
    </w:p>
    <w:p>
      <w:pPr/>
      <w:r>
        <w:rPr>
          <w:b/>
        </w:rPr>
        <w:t xml:space="preserve">What we do not collect.</w:t>
      </w:r>
      <w:r>
        <w:t xml:space="preserve"> The App does not access precise geolocation, contacts or photos, does not use advertising identifiers, and does not offer login through social networks. MUUD does not use biometric data, such as facial images, voice or physiological signals, to infer emotions: emotional information in MUUD comes only from what users choose to report.</w:t>
      </w:r>
    </w:p>
    <w:p>
      <w:pPr>
        <w:pStyle w:val="Heading2"/>
      </w:pPr>
      <w:r>
        <w:t xml:space="preserve">4. Sensitive Data and What School Staff Can See</w:t>
      </w:r>
    </w:p>
    <w:p>
      <w:pPr/>
      <w:r>
        <w:rPr>
          <w:b/>
        </w:rPr>
        <w:t xml:space="preserve">Free text and alerts are treated as sensitive.</w:t>
      </w:r>
      <w:r>
        <w:t xml:space="preserve"> Free-text entries, messages exchanged with the check-in assistant and early-alert records may reveal information about a person's emotional state. MUUD treats them as sensitive personal data under every applicable law (special category data under GDPR Art. 9, "dados pessoais sensíveis" under the LGPD, "datos sensibles" under Chilean and Mexican law) and applies heightened confidentiality, access restrictions and security to them. For schools and employers, the legal basis for this processing is established by the organization as controller. When a student registers with a course code, the App also asks for their express consent to this processing before the first check-in; when the school creates accounts in bulk, the school verifies the required consents before sending us the roster.</w:t>
      </w:r>
    </w:p>
    <w:p>
      <w:pPr/>
      <w:r>
        <w:rPr>
          <w:b/>
        </w:rPr>
        <w:t xml:space="preserve">What each person can see.</w:t>
      </w:r>
    </w:p>
    <w:p>
      <w:pPr>
        <w:pStyle w:val="ListParagraph"/>
        <w:numPr>
          <w:ilvl w:val="0"/>
          <w:numId w:val="3"/>
        </w:numPr>
      </w:pPr>
      <w:r>
        <w:t xml:space="preserve">The student, employee or Individual User sees their own check-ins, conversations and free-text entries.</w:t>
      </w:r>
    </w:p>
    <w:p>
      <w:pPr>
        <w:pStyle w:val="ListParagraph"/>
        <w:numPr>
          <w:ilvl w:val="0"/>
          <w:numId w:val="3"/>
        </w:numPr>
      </w:pPr>
      <w:r>
        <w:t xml:space="preserve">Designated staff of the school or employer see indicators and alerts derived from check-ins, and aggregated reports for groups. They never see the content of free-text entries or of conversations with the assistant.</w:t>
      </w:r>
    </w:p>
    <w:p>
      <w:pPr>
        <w:pStyle w:val="ListParagraph"/>
        <w:numPr>
          <w:ilvl w:val="0"/>
          <w:numId w:val="3"/>
        </w:numPr>
      </w:pPr>
      <w:r>
        <w:t xml:space="preserve">MUUD personnel access personal data only when necessary to operate, secure and support the Services, or to answer a request from the customer, and access is limited to a small number of authorized people.</w:t>
      </w:r>
    </w:p>
    <w:p>
      <w:pPr>
        <w:pStyle w:val="Heading2"/>
      </w:pPr>
      <w:r>
        <w:t xml:space="preserve">5. AI-Assisted Features</w:t>
      </w:r>
    </w:p>
    <w:p>
      <w:pPr/>
      <w:r>
        <w:t xml:space="preserve">MUUD's conversational check-in assistant, Muudy, the summaries of check-in history and the generation of indicators and alerts use large language models from third-party providers acting as MUUD's subprocessors (Section 8): Anthropic, PBC as the primary provider, and OpenAI, L.L.C. only as a backup for the school and workplace Services if Anthropic's service is unavailable.</w:t>
      </w:r>
    </w:p>
    <w:p>
      <w:pPr>
        <w:pStyle w:val="ListParagraph"/>
        <w:numPr>
          <w:ilvl w:val="0"/>
          <w:numId w:val="4"/>
        </w:numPr>
      </w:pPr>
      <w:r>
        <w:t xml:space="preserve">Users are told in the App that they are talking to an automated assistant, not a person. Replies are generated in real time without prior human review.</w:t>
      </w:r>
    </w:p>
    <w:p>
      <w:pPr>
        <w:pStyle w:val="ListParagraph"/>
        <w:numPr>
          <w:ilvl w:val="0"/>
          <w:numId w:val="4"/>
        </w:numPr>
      </w:pPr>
      <w:r>
        <w:t xml:space="preserve">We send the providers only what is needed to generate each reply, summary or indicator. The providers process it on MUUD's behalf, under contractual terms that prohibit them from using it to train their models, and retain it only for the limited periods set in those terms for security and abuse monitoring.</w:t>
      </w:r>
    </w:p>
    <w:p>
      <w:pPr>
        <w:pStyle w:val="ListParagraph"/>
        <w:numPr>
          <w:ilvl w:val="0"/>
          <w:numId w:val="4"/>
        </w:numPr>
      </w:pPr>
      <w:r>
        <w:t xml:space="preserve">MUUD does not use personal data to train AI models.</w:t>
      </w:r>
    </w:p>
    <w:p>
      <w:pPr>
        <w:pStyle w:val="ListParagraph"/>
        <w:numPr>
          <w:ilvl w:val="0"/>
          <w:numId w:val="4"/>
        </w:numPr>
      </w:pPr>
      <w:r>
        <w:t xml:space="preserve">Indicators and alerts are signals for trained adults. No decision with legal or similarly significant effects for a person is taken solely by automated means: a person at the school or employer decides whether and how to follow up. You may ask for human review of any output that concerns you and express your point of view (Section 12).</w:t>
      </w:r>
    </w:p>
    <w:p>
      <w:pPr>
        <w:pStyle w:val="Heading2"/>
      </w:pPr>
      <w:r>
        <w:t xml:space="preserve">6. Why We Use Personal Data and on What Legal Basis</w:t>
      </w:r>
    </w:p>
    <w:p>
      <w:pPr/>
      <w:r>
        <w:rPr>
          <w:b/>
        </w:rPr>
        <w:t xml:space="preserve">When MUUD acts for a school or employer</w:t>
      </w:r>
      <w:r>
        <w:t xml:space="preserve">, we use personal data only to provide, secure and support the Services the organization contracted, following its instructions under the Data Processing Addendum: creating accounts, running check-ins and the check-in assistant, generating indicators, alerts and reports for designated staff, sending password-recovery and alert-notice emails, providing support, and producing de-identified aggregated statistics to evaluate and improve the Services. The organization determines the legal basis, which is typically the performance of its educational or public-interest mission, its legitimate interests, a legal duty of care, or consent, including the consent of parents where the law requires it.</w:t>
      </w:r>
    </w:p>
    <w:p>
      <w:pPr/>
      <w:r>
        <w:t xml:space="preserve">Alert-notice emails contain no student data: they only tell a designated staff member that their group has alerts, and the details are viewed inside the App.</w:t>
      </w:r>
    </w:p>
    <w:p>
      <w:pPr/>
      <w:r>
        <w:rPr>
          <w:b/>
        </w:rPr>
        <w:t xml:space="preserve">When MUUD acts as controller</w:t>
      </w:r>
      <w:r>
        <w:t xml:space="preserve">, we rely on these purposes and legal bases: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Purpose</w:t>
            </w:r>
          </w:p>
        </w:tc>
        <w:tc>
          <w:tcPr>
            <w:tcW w:w="3120" w:type="dxa"/>
            <w:shd w:val="clear" w:color="auto" w:fill="F2F2F2"/>
          </w:tcPr>
          <w:p>
            <w:pPr/>
            <w:r>
              <w:t xml:space="preserve">Data</w:t>
            </w:r>
          </w:p>
        </w:tc>
        <w:tc>
          <w:tcPr>
            <w:tcW w:w="3120" w:type="dxa"/>
            <w:shd w:val="clear" w:color="auto" w:fill="F2F2F2"/>
          </w:tcPr>
          <w:p>
            <w:pPr/>
            <w:r>
              <w:t xml:space="preserve">Legal basis</w:t>
            </w:r>
          </w:p>
        </w:tc>
      </w:tr>
      <w:tr>
        <w:tc>
          <w:tcPr>
            <w:tcW w:w="3120" w:type="dxa"/>
          </w:tcPr>
          <w:p>
            <w:pPr/>
            <w:r>
              <w:t xml:space="preserve">Providing the Services to Individual Users</w:t>
            </w:r>
          </w:p>
        </w:tc>
        <w:tc>
          <w:tcPr>
            <w:tcW w:w="3120" w:type="dxa"/>
          </w:tcPr>
          <w:p>
            <w:pPr/>
            <w:r>
              <w:t xml:space="preserve">Account, check-ins, assistant conversations, free text, indicators</w:t>
            </w:r>
          </w:p>
        </w:tc>
        <w:tc>
          <w:tcPr>
            <w:tcW w:w="3120" w:type="dxa"/>
          </w:tcPr>
          <w:p>
            <w:pPr/>
            <w:r>
              <w:t xml:space="preserve">Performance of the contract; explicit consent for sensitive data, which can be withdrawn at any time</w:t>
            </w:r>
          </w:p>
        </w:tc>
      </w:tr>
      <w:tr>
        <w:tc>
          <w:tcPr>
            <w:tcW w:w="3120" w:type="dxa"/>
          </w:tcPr>
          <w:p>
            <w:pPr/>
            <w:r>
              <w:t xml:space="preserve">Managing customer relationships, contracts and invoicing</w:t>
            </w:r>
          </w:p>
        </w:tc>
        <w:tc>
          <w:tcPr>
            <w:tcW w:w="3120" w:type="dxa"/>
          </w:tcPr>
          <w:p>
            <w:pPr/>
            <w:r>
              <w:t xml:space="preserve">Customer contacts, billing details</w:t>
            </w:r>
          </w:p>
        </w:tc>
        <w:tc>
          <w:tcPr>
            <w:tcW w:w="3120" w:type="dxa"/>
          </w:tcPr>
          <w:p>
            <w:pPr/>
            <w:r>
              <w:t xml:space="preserve">Performance of a contract; legitimate interests; legal obligations (tax and accounting)</w:t>
            </w:r>
          </w:p>
        </w:tc>
      </w:tr>
      <w:tr>
        <w:tc>
          <w:tcPr>
            <w:tcW w:w="3120" w:type="dxa"/>
          </w:tcPr>
          <w:p>
            <w:pPr/>
            <w:r>
              <w:t xml:space="preserve">B2B commercial outreach to schools and organizations</w:t>
            </w:r>
          </w:p>
        </w:tc>
        <w:tc>
          <w:tcPr>
            <w:tcW w:w="3120" w:type="dxa"/>
          </w:tcPr>
          <w:p>
            <w:pPr/>
            <w:r>
              <w:t xml:space="preserve">Prospect contact data</w:t>
            </w:r>
          </w:p>
        </w:tc>
        <w:tc>
          <w:tcPr>
            <w:tcW w:w="3120" w:type="dxa"/>
          </w:tcPr>
          <w:p>
            <w:pPr/>
            <w:r>
              <w:t xml:space="preserve">Legitimate interests (offering relevant services to organizations), with the right to object at any time; consent where the law requires it for electronic marketing</w:t>
            </w:r>
          </w:p>
        </w:tc>
      </w:tr>
      <w:tr>
        <w:tc>
          <w:tcPr>
            <w:tcW w:w="3120" w:type="dxa"/>
          </w:tcPr>
          <w:p>
            <w:pPr/>
            <w:r>
              <w:t xml:space="preserve">Sending teachers MUUD's educational newsletter, where the school's contract authorizes it</w:t>
            </w:r>
          </w:p>
        </w:tc>
        <w:tc>
          <w:tcPr>
            <w:tcW w:w="3120" w:type="dxa"/>
          </w:tcPr>
          <w:p>
            <w:pPr/>
            <w:r>
              <w:t xml:space="preserve">Teacher name and work email</w:t>
            </w:r>
          </w:p>
        </w:tc>
        <w:tc>
          <w:tcPr>
            <w:tcW w:w="3120" w:type="dxa"/>
          </w:tcPr>
          <w:p>
            <w:pPr/>
            <w:r>
              <w:t xml:space="preserve">Legitimate interests and the authorization agreed with the school; consent where the law requires it. Every email includes an unsubscribe link</w:t>
            </w:r>
          </w:p>
        </w:tc>
      </w:tr>
      <w:tr>
        <w:tc>
          <w:tcPr>
            <w:tcW w:w="3120" w:type="dxa"/>
          </w:tcPr>
          <w:p>
            <w:pPr/>
            <w:r>
              <w:t xml:space="preserve">Support and handling data requests</w:t>
            </w:r>
          </w:p>
        </w:tc>
        <w:tc>
          <w:tcPr>
            <w:tcW w:w="3120" w:type="dxa"/>
          </w:tcPr>
          <w:p>
            <w:pPr/>
            <w:r>
              <w:t xml:space="preserve">Contact details, request content, verification data</w:t>
            </w:r>
          </w:p>
        </w:tc>
        <w:tc>
          <w:tcPr>
            <w:tcW w:w="3120" w:type="dxa"/>
          </w:tcPr>
          <w:p>
            <w:pPr/>
            <w:r>
              <w:t xml:space="preserve">Legal obligations; performance of a contract</w:t>
            </w:r>
          </w:p>
        </w:tc>
      </w:tr>
      <w:tr>
        <w:tc>
          <w:tcPr>
            <w:tcW w:w="3120" w:type="dxa"/>
          </w:tcPr>
          <w:p>
            <w:pPr/>
            <w:r>
              <w:t xml:space="preserve">Security, fraud prevention and service integrity</w:t>
            </w:r>
          </w:p>
        </w:tc>
        <w:tc>
          <w:tcPr>
            <w:tcW w:w="3120" w:type="dxa"/>
          </w:tcPr>
          <w:p>
            <w:pPr/>
            <w:r>
              <w:t xml:space="preserve">Technical data, logs</w:t>
            </w:r>
          </w:p>
        </w:tc>
        <w:tc>
          <w:tcPr>
            <w:tcW w:w="3120" w:type="dxa"/>
          </w:tcPr>
          <w:p>
            <w:pPr/>
            <w:r>
              <w:t xml:space="preserve">Legitimate interests; legal obligations</w:t>
            </w:r>
          </w:p>
        </w:tc>
      </w:tr>
      <w:tr>
        <w:tc>
          <w:tcPr>
            <w:tcW w:w="3120" w:type="dxa"/>
          </w:tcPr>
          <w:p>
            <w:pPr/>
            <w:r>
              <w:t xml:space="preserve">Website operation and, with consent, analytics</w:t>
            </w:r>
          </w:p>
        </w:tc>
        <w:tc>
          <w:tcPr>
            <w:tcW w:w="3120" w:type="dxa"/>
          </w:tcPr>
          <w:p>
            <w:pPr/>
            <w:r>
              <w:t xml:space="preserve">Website and cookie data</w:t>
            </w:r>
          </w:p>
        </w:tc>
        <w:tc>
          <w:tcPr>
            <w:tcW w:w="3120" w:type="dxa"/>
          </w:tcPr>
          <w:p>
            <w:pPr/>
            <w:r>
              <w:t xml:space="preserve">Legitimate interests for strictly necessary cookies; consent for all others</w:t>
            </w:r>
          </w:p>
        </w:tc>
      </w:tr>
      <w:tr>
        <w:tc>
          <w:tcPr>
            <w:tcW w:w="3120" w:type="dxa"/>
          </w:tcPr>
          <w:p>
            <w:pPr/>
            <w:r>
              <w:t xml:space="preserve">Complying with the law, and establishing or defending legal claims</w:t>
            </w:r>
          </w:p>
        </w:tc>
        <w:tc>
          <w:tcPr>
            <w:tcW w:w="3120" w:type="dxa"/>
          </w:tcPr>
          <w:p>
            <w:pPr/>
            <w:r>
              <w:t xml:space="preserve">Data relevant to the matter</w:t>
            </w:r>
          </w:p>
        </w:tc>
        <w:tc>
          <w:tcPr>
            <w:tcW w:w="3120" w:type="dxa"/>
          </w:tcPr>
          <w:p>
            <w:pPr/>
            <w:r>
              <w:t xml:space="preserve">Legal obligations; legitimate interests</w:t>
            </w:r>
          </w:p>
        </w:tc>
      </w:tr>
      <w:tr>
        <w:tc>
          <w:tcPr>
            <w:tcW w:w="3120" w:type="dxa"/>
          </w:tcPr>
          <w:p>
            <w:pPr/>
            <w:r>
              <w:t xml:space="preserve">Protecting the life or physical safety of a person in an emergency</w:t>
            </w:r>
          </w:p>
        </w:tc>
        <w:tc>
          <w:tcPr>
            <w:tcW w:w="3120" w:type="dxa"/>
          </w:tcPr>
          <w:p>
            <w:pPr/>
            <w:r>
              <w:t xml:space="preserve">Data strictly necessary</w:t>
            </w:r>
          </w:p>
        </w:tc>
        <w:tc>
          <w:tcPr>
            <w:tcW w:w="3120" w:type="dxa"/>
          </w:tcPr>
          <w:p>
            <w:pPr/>
            <w:r>
              <w:t xml:space="preserve">Vital interests, or the legal duty to report, where applicable law allows or requires it</w:t>
            </w:r>
          </w:p>
        </w:tc>
      </w:tr>
    </w:tbl>
    <w:p>
      <w:pPr/>
      <w:r>
        <w:t xml:space="preserve">We do not use personal data for advertising, sell it, or combine it with data from third parties to build profiles. If we ever want to use personal data for a new purpose incompatible with those above, we will inform you and, where required, ask for your consent first.</w:t>
      </w:r>
    </w:p>
    <w:p>
      <w:pPr/>
      <w:r>
        <w:rPr>
          <w:b/>
        </w:rPr>
        <w:t xml:space="preserve">Mexico: primary and secondary purposes.</w:t>
      </w:r>
      <w:r>
        <w:t xml:space="preserve"> For data subjects in Mexico, the purposes in the table are primary purposes necessary for the relationship with MUUD, except B2B commercial outreach and the teacher newsletter, which are secondary purposes. You can refuse the secondary purposes at any time by writing to soporte@muud.app or by using the unsubscribe link, without affecting the primary purposes.</w:t>
      </w:r>
    </w:p>
    <w:p>
      <w:pPr>
        <w:pStyle w:val="Heading2"/>
      </w:pPr>
      <w:r>
        <w:t xml:space="preserve">7. Children and Adolescents</w:t>
      </w:r>
    </w:p>
    <w:p>
      <w:pPr/>
      <w:r>
        <w:t xml:space="preserve">MUUD is used by students, including children, only through schools that have contracted the Services. Children can only get an account through their school, either created by the school in bulk or by registering with a course code the school provides, and we do not knowingly collect personal data from a child outside a school deployment.</w:t>
      </w:r>
    </w:p>
    <w:p>
      <w:pPr>
        <w:pStyle w:val="ListParagraph"/>
        <w:numPr>
          <w:ilvl w:val="0"/>
          <w:numId w:val="5"/>
        </w:numPr>
      </w:pPr>
      <w:r>
        <w:rPr>
          <w:b/>
        </w:rPr>
        <w:t xml:space="preserve">Notices and consent.</w:t>
      </w:r>
      <w:r>
        <w:t xml:space="preserve"> The school, as controller, gives parents and guardians the notices the law requires and obtains any required consent or authorization. When a student registers with a course code, the App asks for the student's express consent to the processing of sensitive data; this does not replace parental consent where the law requires it for the student's age. When the school creates accounts in bulk, it verifies the required consents before sending the roster. MUUD provides the school with the information and template notices it needs. The main age thresholds are: under 13 in the United States (COPPA) and the United Kingdom; under 14 in Spain and in Chile, where Law No. 21.719 also requires parental consent for sensitive data of adolescents under 16; under 16 in EU member states that keep the GDPR default, or the lower age they set; under 12 in Brazil, with specific protections up to 18; and under 18 in Mexico.</w:t>
      </w:r>
    </w:p>
    <w:p>
      <w:pPr>
        <w:pStyle w:val="ListParagraph"/>
        <w:numPr>
          <w:ilvl w:val="0"/>
          <w:numId w:val="5"/>
        </w:numPr>
      </w:pPr>
      <w:r>
        <w:rPr>
          <w:b/>
        </w:rPr>
        <w:t xml:space="preserve">United States (COPPA).</w:t>
      </w:r>
      <w:r>
        <w:t xml:space="preserve"> For students under 13, MUUD relies on the school's authorization, given for the educational use and benefit of the school and for no other commercial purpose. Parents can review their child's information, ask for its deletion and refuse further collection by contacting the school or writing to soporte@muud.app; we act on those requests together with the school. MUUD keeps children's personal data only as long as reasonably necessary for the purpose for which it was collected, under the retention schedule in Section 10, and then deletes it.</w:t>
      </w:r>
    </w:p>
    <w:p>
      <w:pPr>
        <w:pStyle w:val="ListParagraph"/>
        <w:numPr>
          <w:ilvl w:val="0"/>
          <w:numId w:val="5"/>
        </w:numPr>
      </w:pPr>
      <w:r>
        <w:rPr>
          <w:b/>
        </w:rPr>
        <w:t xml:space="preserve">Best interest of the child.</w:t>
      </w:r>
      <w:r>
        <w:t xml:space="preserve"> Children's data is processed in their best interest, with privacy by default: no advertising, no commercial profiling, no public profiles, no social features between students, and no disclosure of free-text content to adults at the school.</w:t>
      </w:r>
    </w:p>
    <w:p>
      <w:pPr>
        <w:pStyle w:val="ListParagraph"/>
        <w:numPr>
          <w:ilvl w:val="0"/>
          <w:numId w:val="5"/>
        </w:numPr>
      </w:pPr>
      <w:r>
        <w:rPr>
          <w:b/>
        </w:rPr>
        <w:t xml:space="preserve">If something went wrong.</w:t>
      </w:r>
      <w:r>
        <w:t xml:space="preserve"> If we learn that a child's data was collected without the required notice, consent or authorization, we suspend processing, inform the school and delete the data unless the situation is remedied or a legal retention obligation applies.</w:t>
      </w:r>
    </w:p>
    <w:p>
      <w:pPr>
        <w:pStyle w:val="Heading2"/>
      </w:pPr>
      <w:r>
        <w:t xml:space="preserve">8. Who Receives Personal Data</w:t>
      </w:r>
    </w:p>
    <w:p>
      <w:pPr/>
      <w:r>
        <w:t xml:space="preserve">We do not sell or rent personal data, and we do not share it for advertising. We share it only with:</w:t>
      </w:r>
    </w:p>
    <w:p>
      <w:pPr>
        <w:pStyle w:val="ListParagraph"/>
        <w:numPr>
          <w:ilvl w:val="0"/>
          <w:numId w:val="6"/>
        </w:numPr>
      </w:pPr>
      <w:r>
        <w:rPr>
          <w:b/>
        </w:rPr>
        <w:t xml:space="preserve">Your school or employer</w:t>
      </w:r>
      <w:r>
        <w:t xml:space="preserve">, to the extent described in Section 4.</w:t>
      </w:r>
    </w:p>
    <w:p>
      <w:pPr>
        <w:pStyle w:val="ListParagraph"/>
        <w:numPr>
          <w:ilvl w:val="0"/>
          <w:numId w:val="6"/>
        </w:numPr>
      </w:pPr>
      <w:r>
        <w:rPr>
          <w:b/>
        </w:rPr>
        <w:t xml:space="preserve">Our subprocessors and service providers</w:t>
      </w:r>
      <w:r>
        <w:t xml:space="preserve">, listed below, under written contracts that require them to process data only on our instructions, keep it confidential and protect it.</w:t>
      </w:r>
    </w:p>
    <w:p>
      <w:pPr>
        <w:pStyle w:val="ListParagraph"/>
        <w:numPr>
          <w:ilvl w:val="0"/>
          <w:numId w:val="6"/>
        </w:numPr>
      </w:pPr>
      <w:r>
        <w:rPr>
          <w:b/>
        </w:rPr>
        <w:t xml:space="preserve">Authorities</w:t>
      </w:r>
      <w:r>
        <w:t xml:space="preserve">, when a law, court order or binding request of a competent authority requires it, or to protect the life or physical safety of a person. We inform the school or employer unless the law prohibits it.</w:t>
      </w:r>
    </w:p>
    <w:p>
      <w:pPr>
        <w:pStyle w:val="ListParagraph"/>
        <w:numPr>
          <w:ilvl w:val="0"/>
          <w:numId w:val="6"/>
        </w:numPr>
      </w:pPr>
      <w:r>
        <w:rPr>
          <w:b/>
        </w:rPr>
        <w:t xml:space="preserve">Professional advisers and auditors</w:t>
      </w:r>
      <w:r>
        <w:t xml:space="preserve">, such as lawyers and compliance auditors, under duties of confidentiality.</w:t>
      </w:r>
    </w:p>
    <w:p>
      <w:pPr>
        <w:pStyle w:val="ListParagraph"/>
        <w:numPr>
          <w:ilvl w:val="0"/>
          <w:numId w:val="6"/>
        </w:numPr>
      </w:pPr>
      <w:r>
        <w:rPr>
          <w:b/>
        </w:rPr>
        <w:t xml:space="preserve">A buyer or successor</w:t>
      </w:r>
      <w:r>
        <w:t xml:space="preserve">, in a merger, acquisition or sale of assets, who must keep applying this Policy and the commitments made to schools; schools will be told in advance and may require deletion of their data.</w:t>
      </w:r>
    </w:p>
    <w:p>
      <w:pPr/>
      <w:r>
        <w:t xml:space="preserve">Authorized Distributors that resell MUUD in some countries receive the contact and billing data of the customer organization. They access users' data in the Services only if the customer authorizes it in writing, and in that case they act as MUUD's subprocessors under a written data processing agreement.</w:t>
      </w:r>
    </w:p>
    <w:p>
      <w:pPr/>
      <w:r>
        <w:rPr>
          <w:b/>
        </w:rPr>
        <w:t xml:space="preserve">Subprocessors (data processed for schools and employers)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Provider</w:t>
            </w:r>
          </w:p>
        </w:tc>
        <w:tc>
          <w:tcPr>
            <w:tcW w:w="3120" w:type="dxa"/>
            <w:shd w:val="clear" w:color="auto" w:fill="F2F2F2"/>
          </w:tcPr>
          <w:p>
            <w:pPr/>
            <w:r>
              <w:t xml:space="preserve">Location</w:t>
            </w:r>
          </w:p>
        </w:tc>
        <w:tc>
          <w:tcPr>
            <w:tcW w:w="3120" w:type="dxa"/>
            <w:shd w:val="clear" w:color="auto" w:fill="F2F2F2"/>
          </w:tcPr>
          <w:p>
            <w:pPr/>
            <w:r>
              <w:t xml:space="preserve">What they do</w:t>
            </w:r>
          </w:p>
        </w:tc>
      </w:tr>
      <w:tr>
        <w:tc>
          <w:tcPr>
            <w:tcW w:w="3120" w:type="dxa"/>
          </w:tcPr>
          <w:p>
            <w:pPr/>
            <w:r>
              <w:t xml:space="preserve">Salesforce, Inc. (Heroku)</w:t>
            </w:r>
          </w:p>
        </w:tc>
        <w:tc>
          <w:tcPr>
            <w:tcW w:w="3120" w:type="dxa"/>
          </w:tcPr>
          <w:p>
            <w:pPr/>
            <w:r>
              <w:t xml:space="preserve">United States</w:t>
            </w:r>
          </w:p>
        </w:tc>
        <w:tc>
          <w:tcPr>
            <w:tcW w:w="3120" w:type="dxa"/>
          </w:tcPr>
          <w:p>
            <w:pPr/>
            <w:r>
              <w:t xml:space="preserve">Hosting of the application backend and of the workplace Services database, cache and queues. Heroku runs on Amazon Web Services infrastructure</w:t>
            </w:r>
          </w:p>
        </w:tc>
      </w:tr>
      <w:tr>
        <w:tc>
          <w:tcPr>
            <w:tcW w:w="3120" w:type="dxa"/>
          </w:tcPr>
          <w:p>
            <w:pPr/>
            <w:r>
              <w:t xml:space="preserve">Retool, Inc.</w:t>
            </w:r>
          </w:p>
        </w:tc>
        <w:tc>
          <w:tcPr>
            <w:tcW w:w="3120" w:type="dxa"/>
          </w:tcPr>
          <w:p>
            <w:pPr/>
            <w:r>
              <w:t xml:space="preserve">United States</w:t>
            </w:r>
          </w:p>
        </w:tc>
        <w:tc>
          <w:tcPr>
            <w:tcW w:w="3120" w:type="dxa"/>
          </w:tcPr>
          <w:p>
            <w:pPr/>
            <w:r>
              <w:t xml:space="preserve">Hosting of the school Services database (RetoolDB, on Neon infrastructure) and its backups, and the internal administration panel used by authorized MUUD personnel</w:t>
            </w:r>
          </w:p>
        </w:tc>
      </w:tr>
      <w:tr>
        <w:tc>
          <w:tcPr>
            <w:tcW w:w="3120" w:type="dxa"/>
          </w:tcPr>
          <w:p>
            <w:pPr/>
            <w:r>
              <w:t xml:space="preserve">Anthropic, PBC</w:t>
            </w:r>
          </w:p>
        </w:tc>
        <w:tc>
          <w:tcPr>
            <w:tcW w:w="3120" w:type="dxa"/>
          </w:tcPr>
          <w:p>
            <w:pPr/>
            <w:r>
              <w:t xml:space="preserve">United States</w:t>
            </w:r>
          </w:p>
        </w:tc>
        <w:tc>
          <w:tcPr>
            <w:tcW w:w="3120" w:type="dxa"/>
          </w:tcPr>
          <w:p>
            <w:pPr/>
            <w:r>
              <w:t xml:space="preserve">AI provider for the conversational check-in assistant, summaries and indicators</w:t>
            </w:r>
          </w:p>
        </w:tc>
      </w:tr>
      <w:tr>
        <w:tc>
          <w:tcPr>
            <w:tcW w:w="3120" w:type="dxa"/>
          </w:tcPr>
          <w:p>
            <w:pPr/>
            <w:r>
              <w:t xml:space="preserve">OpenAI, L.L.C.</w:t>
            </w:r>
          </w:p>
        </w:tc>
        <w:tc>
          <w:tcPr>
            <w:tcW w:w="3120" w:type="dxa"/>
          </w:tcPr>
          <w:p>
            <w:pPr/>
            <w:r>
              <w:t xml:space="preserve">United States</w:t>
            </w:r>
          </w:p>
        </w:tc>
        <w:tc>
          <w:tcPr>
            <w:tcW w:w="3120" w:type="dxa"/>
          </w:tcPr>
          <w:p>
            <w:pPr/>
            <w:r>
              <w:t xml:space="preserve">Backup AI provider for the school and workplace Services, used only if Anthropic is unavailable</w:t>
            </w:r>
          </w:p>
        </w:tc>
      </w:tr>
      <w:tr>
        <w:tc>
          <w:tcPr>
            <w:tcW w:w="3120" w:type="dxa"/>
          </w:tcPr>
          <w:p>
            <w:pPr/>
            <w:r>
              <w:t xml:space="preserve">Twilio Inc. (SendGrid)</w:t>
            </w:r>
          </w:p>
        </w:tc>
        <w:tc>
          <w:tcPr>
            <w:tcW w:w="3120" w:type="dxa"/>
          </w:tcPr>
          <w:p>
            <w:pPr/>
            <w:r>
              <w:t xml:space="preserve">United States</w:t>
            </w:r>
          </w:p>
        </w:tc>
        <w:tc>
          <w:tcPr>
            <w:tcW w:w="3120" w:type="dxa"/>
          </w:tcPr>
          <w:p>
            <w:pPr/>
            <w:r>
              <w:t xml:space="preserve">Password-recovery emails and alert-notice emails to staff. Receives staff email addresses, never student data</w:t>
            </w:r>
          </w:p>
        </w:tc>
      </w:tr>
      <w:tr>
        <w:tc>
          <w:tcPr>
            <w:tcW w:w="3120" w:type="dxa"/>
          </w:tcPr>
          <w:p>
            <w:pPr/>
            <w:r>
              <w:t xml:space="preserve">Google LLC (Google Workspace)</w:t>
            </w:r>
          </w:p>
        </w:tc>
        <w:tc>
          <w:tcPr>
            <w:tcW w:w="3120" w:type="dxa"/>
          </w:tcPr>
          <w:p>
            <w:pPr/>
            <w:r>
              <w:t xml:space="preserve">United States</w:t>
            </w:r>
          </w:p>
        </w:tc>
        <w:tc>
          <w:tcPr>
            <w:tcW w:w="3120" w:type="dxa"/>
          </w:tcPr>
          <w:p>
            <w:pPr/>
            <w:r>
              <w:t xml:space="preserve">Email support and restricted storage of student rosters sent by schools to create accounts</w:t>
            </w:r>
          </w:p>
        </w:tc>
      </w:tr>
    </w:tbl>
    <w:p>
      <w:pPr/>
      <w:r>
        <w:rPr>
          <w:b/>
        </w:rPr>
        <w:t xml:space="preserve">Service providers for MUUD's own purposes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Provider</w:t>
            </w:r>
          </w:p>
        </w:tc>
        <w:tc>
          <w:tcPr>
            <w:tcW w:w="3120" w:type="dxa"/>
            <w:shd w:val="clear" w:color="auto" w:fill="F2F2F2"/>
          </w:tcPr>
          <w:p>
            <w:pPr/>
            <w:r>
              <w:t xml:space="preserve">Location</w:t>
            </w:r>
          </w:p>
        </w:tc>
        <w:tc>
          <w:tcPr>
            <w:tcW w:w="3120" w:type="dxa"/>
            <w:shd w:val="clear" w:color="auto" w:fill="F2F2F2"/>
          </w:tcPr>
          <w:p>
            <w:pPr/>
            <w:r>
              <w:t xml:space="preserve">What they do</w:t>
            </w:r>
          </w:p>
        </w:tc>
      </w:tr>
      <w:tr>
        <w:tc>
          <w:tcPr>
            <w:tcW w:w="3120" w:type="dxa"/>
          </w:tcPr>
          <w:p>
            <w:pPr/>
            <w:r>
              <w:t xml:space="preserve">HubSpot, Inc.</w:t>
            </w:r>
          </w:p>
        </w:tc>
        <w:tc>
          <w:tcPr>
            <w:tcW w:w="3120" w:type="dxa"/>
          </w:tcPr>
          <w:p>
            <w:pPr/>
            <w:r>
              <w:t xml:space="preserve">United States</w:t>
            </w:r>
          </w:p>
        </w:tc>
        <w:tc>
          <w:tcPr>
            <w:tcW w:w="3120" w:type="dxa"/>
          </w:tcPr>
          <w:p>
            <w:pPr/>
            <w:r>
              <w:t xml:space="preserve">CRM for commercial contacts and prospects</w:t>
            </w:r>
          </w:p>
        </w:tc>
      </w:tr>
      <w:tr>
        <w:tc>
          <w:tcPr>
            <w:tcW w:w="3120" w:type="dxa"/>
          </w:tcPr>
          <w:p>
            <w:pPr/>
            <w:r>
              <w:t xml:space="preserve">Intuit Inc. (Mailchimp)</w:t>
            </w:r>
          </w:p>
        </w:tc>
        <w:tc>
          <w:tcPr>
            <w:tcW w:w="3120" w:type="dxa"/>
          </w:tcPr>
          <w:p>
            <w:pPr/>
            <w:r>
              <w:t xml:space="preserve">United States</w:t>
            </w:r>
          </w:p>
        </w:tc>
        <w:tc>
          <w:tcPr>
            <w:tcW w:w="3120" w:type="dxa"/>
          </w:tcPr>
          <w:p>
            <w:pPr/>
            <w:r>
              <w:t xml:space="preserve">Sending the teacher newsletter</w:t>
            </w:r>
          </w:p>
        </w:tc>
      </w:tr>
      <w:tr>
        <w:tc>
          <w:tcPr>
            <w:tcW w:w="3120" w:type="dxa"/>
          </w:tcPr>
          <w:p>
            <w:pPr/>
            <w:r>
              <w:t xml:space="preserve">Google LLC (Google Workspace)</w:t>
            </w:r>
          </w:p>
        </w:tc>
        <w:tc>
          <w:tcPr>
            <w:tcW w:w="3120" w:type="dxa"/>
          </w:tcPr>
          <w:p>
            <w:pPr/>
            <w:r>
              <w:t xml:space="preserve">United States</w:t>
            </w:r>
          </w:p>
        </w:tc>
        <w:tc>
          <w:tcPr>
            <w:tcW w:w="3120" w:type="dxa"/>
          </w:tcPr>
          <w:p>
            <w:pPr/>
            <w:r>
              <w:t xml:space="preserve">Email, documents and records of customer relationships and data requests</w:t>
            </w:r>
          </w:p>
        </w:tc>
      </w:tr>
    </w:tbl>
    <w:p>
      <w:pPr/>
      <w:r>
        <w:t xml:space="preserve">Apple and Google receive data as independent controllers when you download the App or make a purchase in their stores and, if you choose to dictate, when the speech recognition of your device's operating system or browser processes your audio, in each case under their own privacy policies. Institutional customers receive at least 30 days' notice of any new subprocessor and may object, as set out in the Data Processing Addendum.</w:t>
      </w:r>
    </w:p>
    <w:p>
      <w:pPr>
        <w:pStyle w:val="Heading2"/>
      </w:pPr>
      <w:r>
        <w:t xml:space="preserve">9. International Transfers</w:t>
      </w:r>
    </w:p>
    <w:p>
      <w:pPr/>
      <w:r>
        <w:t xml:space="preserve">All data processed through the Services is stored in the United States. MUUD SpA is established in Chile, and its authorized personnel access the data remotely from Chile. For users outside those countries, this means that personal data is transferred to the United States and Chile. We protect these transfers as follows:</w:t>
      </w:r>
    </w:p>
    <w:p>
      <w:pPr>
        <w:pStyle w:val="ListParagraph"/>
        <w:numPr>
          <w:ilvl w:val="0"/>
          <w:numId w:val="7"/>
        </w:numPr>
      </w:pPr>
      <w:r>
        <w:rPr>
          <w:b/>
        </w:rPr>
        <w:t xml:space="preserve">From the EU/EEA:</w:t>
      </w:r>
      <w:r>
        <w:t xml:space="preserve"> the European Commission's Standard Contractual Clauses (Decision 2021/914), included in our Data Processing Addendum and in our contracts with subprocessors, supported by transfer impact assessments; or the EU-U.S. Data Privacy Framework where the recipient is certified.</w:t>
      </w:r>
    </w:p>
    <w:p>
      <w:pPr>
        <w:pStyle w:val="ListParagraph"/>
        <w:numPr>
          <w:ilvl w:val="0"/>
          <w:numId w:val="7"/>
        </w:numPr>
      </w:pPr>
      <w:r>
        <w:rPr>
          <w:b/>
        </w:rPr>
        <w:t xml:space="preserve">From the United Kingdom:</w:t>
      </w:r>
      <w:r>
        <w:t xml:space="preserve"> the UK International Data Transfer Addendum to the Standard Contractual Clauses.</w:t>
      </w:r>
    </w:p>
    <w:p>
      <w:pPr>
        <w:pStyle w:val="ListParagraph"/>
        <w:numPr>
          <w:ilvl w:val="0"/>
          <w:numId w:val="7"/>
        </w:numPr>
      </w:pPr>
      <w:r>
        <w:rPr>
          <w:b/>
        </w:rPr>
        <w:t xml:space="preserve">From Switzerland:</w:t>
      </w:r>
      <w:r>
        <w:t xml:space="preserve"> the Standard Contractual Clauses with the amendments recognized by the Swiss Federal Data Protection and Information Commissioner. Personal data from Switzerland is disclosed to the United States and Chile.</w:t>
      </w:r>
    </w:p>
    <w:p>
      <w:pPr>
        <w:pStyle w:val="ListParagraph"/>
        <w:numPr>
          <w:ilvl w:val="0"/>
          <w:numId w:val="7"/>
        </w:numPr>
      </w:pPr>
      <w:r>
        <w:rPr>
          <w:b/>
        </w:rPr>
        <w:t xml:space="preserve">From Brazil:</w:t>
      </w:r>
      <w:r>
        <w:t xml:space="preserve"> the standard contractual clauses approved by the ANPD (Resolution CD/ANPD No. 19/2024), under LGPD Art. 33.</w:t>
      </w:r>
    </w:p>
    <w:p>
      <w:pPr>
        <w:pStyle w:val="ListParagraph"/>
        <w:numPr>
          <w:ilvl w:val="0"/>
          <w:numId w:val="7"/>
        </w:numPr>
      </w:pPr>
      <w:r>
        <w:rPr>
          <w:b/>
        </w:rPr>
        <w:t xml:space="preserve">From Chile:</w:t>
      </w:r>
      <w:r>
        <w:t xml:space="preserve"> the safeguards required by Law No. 19.628 and, from December 1, 2026, the transfer rules of Law No. 21.719, including contractual clauses that ensure an adequate level of protection.</w:t>
      </w:r>
    </w:p>
    <w:p>
      <w:pPr>
        <w:pStyle w:val="ListParagraph"/>
        <w:numPr>
          <w:ilvl w:val="0"/>
          <w:numId w:val="7"/>
        </w:numPr>
      </w:pPr>
      <w:r>
        <w:rPr>
          <w:b/>
        </w:rPr>
        <w:t xml:space="preserve">From Mexico:</w:t>
      </w:r>
      <w:r>
        <w:t xml:space="preserve"> communications to MUUD and its subprocessors are remisiones to processors under the LFPDPPP, made under contracts that bind them to this Policy and to the controller's instructions, and do not require your consent.</w:t>
      </w:r>
    </w:p>
    <w:p>
      <w:pPr/>
      <w:r>
        <w:t xml:space="preserve">You can ask for a copy of the relevant safeguards by writing to soporte@muud.app.</w:t>
      </w:r>
    </w:p>
    <w:p>
      <w:pPr>
        <w:pStyle w:val="Heading2"/>
      </w:pPr>
      <w:r>
        <w:t xml:space="preserve">10. How Long We Keep Personal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Data</w:t>
            </w:r>
          </w:p>
        </w:tc>
        <w:tc>
          <w:tcPr>
            <w:tcW w:w="4680" w:type="dxa"/>
            <w:shd w:val="clear" w:color="auto" w:fill="F2F2F2"/>
          </w:tcPr>
          <w:p>
            <w:pPr/>
            <w:r>
              <w:t xml:space="preserve">Retention</w:t>
            </w:r>
          </w:p>
        </w:tc>
      </w:tr>
      <w:tr>
        <w:tc>
          <w:tcPr>
            <w:tcW w:w="4680" w:type="dxa"/>
          </w:tcPr>
          <w:p>
            <w:pPr/>
            <w:r>
              <w:t xml:space="preserve">Data of schools and employers, including Student Data</w:t>
            </w:r>
          </w:p>
        </w:tc>
        <w:tc>
          <w:tcPr>
            <w:tcW w:w="4680" w:type="dxa"/>
          </w:tcPr>
          <w:p>
            <w:pPr/>
            <w:r>
              <w:t xml:space="preserve">For the duration of the subscription. When a user is removed or the customer asks for deletion, within 30 days. After the subscription ends, available for export for 60 days and deleted from production systems within 90 days; backups are overwritten in their ordinary rotation cycle and remain isolated from active use until then</w:t>
            </w:r>
          </w:p>
        </w:tc>
      </w:tr>
      <w:tr>
        <w:tc>
          <w:tcPr>
            <w:tcW w:w="4680" w:type="dxa"/>
          </w:tcPr>
          <w:p>
            <w:pPr/>
            <w:r>
              <w:t xml:space="preserve">Student rosters sent by schools</w:t>
            </w:r>
          </w:p>
        </w:tc>
        <w:tc>
          <w:tcPr>
            <w:tcW w:w="4680" w:type="dxa"/>
          </w:tcPr>
          <w:p>
            <w:pPr/>
            <w:r>
              <w:t xml:space="preserve">Kept in restricted storage for the duration of the subscription, and deleted with the rest of the customer's data when it ends</w:t>
            </w:r>
          </w:p>
        </w:tc>
      </w:tr>
      <w:tr>
        <w:tc>
          <w:tcPr>
            <w:tcW w:w="4680" w:type="dxa"/>
          </w:tcPr>
          <w:p>
            <w:pPr/>
            <w:r>
              <w:t xml:space="preserve">Individual User accounts</w:t>
            </w:r>
          </w:p>
        </w:tc>
        <w:tc>
          <w:tcPr>
            <w:tcW w:w="4680" w:type="dxa"/>
          </w:tcPr>
          <w:p>
            <w:pPr/>
            <w:r>
              <w:t xml:space="preserve">While the account is active. Deleted on request, or after 24 months of inactivity with 30 days' prior notice</w:t>
            </w:r>
          </w:p>
        </w:tc>
      </w:tr>
      <w:tr>
        <w:tc>
          <w:tcPr>
            <w:tcW w:w="4680" w:type="dxa"/>
          </w:tcPr>
          <w:p>
            <w:pPr/>
            <w:r>
              <w:t xml:space="preserve">Customer contracts, invoices and accounting records</w:t>
            </w:r>
          </w:p>
        </w:tc>
        <w:tc>
          <w:tcPr>
            <w:tcW w:w="4680" w:type="dxa"/>
          </w:tcPr>
          <w:p>
            <w:pPr/>
            <w:r>
              <w:t xml:space="preserve">For the relationship and 6 years after it ends, as required by Chilean tax law</w:t>
            </w:r>
          </w:p>
        </w:tc>
      </w:tr>
      <w:tr>
        <w:tc>
          <w:tcPr>
            <w:tcW w:w="4680" w:type="dxa"/>
          </w:tcPr>
          <w:p>
            <w:pPr/>
            <w:r>
              <w:t xml:space="preserve">Prospect data</w:t>
            </w:r>
          </w:p>
        </w:tc>
        <w:tc>
          <w:tcPr>
            <w:tcW w:w="4680" w:type="dxa"/>
          </w:tcPr>
          <w:p>
            <w:pPr/>
            <w:r>
              <w:t xml:space="preserve">Until the person objects, or 24 months after the last interaction</w:t>
            </w:r>
          </w:p>
        </w:tc>
      </w:tr>
      <w:tr>
        <w:tc>
          <w:tcPr>
            <w:tcW w:w="4680" w:type="dxa"/>
          </w:tcPr>
          <w:p>
            <w:pPr/>
            <w:r>
              <w:t xml:space="preserve">Newsletter subscriptions</w:t>
            </w:r>
          </w:p>
        </w:tc>
        <w:tc>
          <w:tcPr>
            <w:tcW w:w="4680" w:type="dxa"/>
          </w:tcPr>
          <w:p>
            <w:pPr/>
            <w:r>
              <w:t xml:space="preserve">Until the person unsubscribes</w:t>
            </w:r>
          </w:p>
        </w:tc>
      </w:tr>
      <w:tr>
        <w:tc>
          <w:tcPr>
            <w:tcW w:w="4680" w:type="dxa"/>
          </w:tcPr>
          <w:p>
            <w:pPr/>
            <w:r>
              <w:t xml:space="preserve">Support tickets and data request records</w:t>
            </w:r>
          </w:p>
        </w:tc>
        <w:tc>
          <w:tcPr>
            <w:tcW w:w="4680" w:type="dxa"/>
          </w:tcPr>
          <w:p>
            <w:pPr/>
            <w:r>
              <w:t xml:space="preserve">3 years after the request is closed, to demonstrate compliance</w:t>
            </w:r>
          </w:p>
        </w:tc>
      </w:tr>
      <w:tr>
        <w:tc>
          <w:tcPr>
            <w:tcW w:w="4680" w:type="dxa"/>
          </w:tcPr>
          <w:p>
            <w:pPr/>
            <w:r>
              <w:t xml:space="preserve">Security logs</w:t>
            </w:r>
          </w:p>
        </w:tc>
        <w:tc>
          <w:tcPr>
            <w:tcW w:w="4680" w:type="dxa"/>
          </w:tcPr>
          <w:p>
            <w:pPr/>
            <w:r>
              <w:t xml:space="preserve">12 months</w:t>
            </w:r>
          </w:p>
        </w:tc>
      </w:tr>
      <w:tr>
        <w:tc>
          <w:tcPr>
            <w:tcW w:w="4680" w:type="dxa"/>
          </w:tcPr>
          <w:p>
            <w:pPr/>
            <w:r>
              <w:t xml:space="preserve">Website analytics cookies</w:t>
            </w:r>
          </w:p>
        </w:tc>
        <w:tc>
          <w:tcPr>
            <w:tcW w:w="4680" w:type="dxa"/>
          </w:tcPr>
          <w:p>
            <w:pPr/>
            <w:r>
              <w:t xml:space="preserve">Up to 13 months, and only with consent</w:t>
            </w:r>
          </w:p>
        </w:tc>
      </w:tr>
      <w:tr>
        <w:tc>
          <w:tcPr>
            <w:tcW w:w="4680" w:type="dxa"/>
          </w:tcPr>
          <w:p>
            <w:pPr/>
            <w:r>
              <w:t xml:space="preserve">Data processed by AI providers</w:t>
            </w:r>
          </w:p>
        </w:tc>
        <w:tc>
          <w:tcPr>
            <w:tcW w:w="4680" w:type="dxa"/>
          </w:tcPr>
          <w:p>
            <w:pPr/>
            <w:r>
              <w:t xml:space="preserve">Only for the limited period set in their terms for security and abuse monitoring, and never used for training</w:t>
            </w:r>
          </w:p>
        </w:tc>
      </w:tr>
    </w:tbl>
    <w:p>
      <w:pPr/>
      <w:r>
        <w:t xml:space="preserve">We may keep data for longer only when the law requires it or to establish or defend a legal claim, and only for as long as that need lasts. When the retention period ends, we delete or irreversibly anonymize the data.</w:t>
      </w:r>
    </w:p>
    <w:p>
      <w:pPr>
        <w:pStyle w:val="Heading2"/>
      </w:pPr>
      <w:r>
        <w:t xml:space="preserve">11. How We Protect Personal Data</w:t>
      </w:r>
    </w:p>
    <w:p>
      <w:pPr/>
      <w:r>
        <w:t xml:space="preserve">We apply technical and organizational measures appropriate to the sensitivity of the data, including: encryption in transit and at rest; access to production data restricted to a very small number of authorized personnel, on a need-to-know basis, with individual accounts; separation between the school database and the workplace database; logging and review of access; due diligence and data processing agreements with every subprocessor; confidentiality obligations and privacy training for all personnel; a written incident response procedure, including notice to affected customers within 72 hours of becoming aware of a personal data breach; secure deletion of data and devices; and a compliance program aligned with the GDPR, SOC 2 and HIPAA security frameworks. No system is completely secure, but we work to prevent, detect and respond to incidents, and we will notify you and the competent authorities when the law requires it.</w:t>
      </w:r>
    </w:p>
    <w:p>
      <w:pPr>
        <w:pStyle w:val="Heading2"/>
      </w:pPr>
      <w:r>
        <w:t xml:space="preserve">12. Your Rights and How to Exercise Them</w:t>
      </w:r>
    </w:p>
    <w:p>
      <w:pPr/>
      <w:r>
        <w:t xml:space="preserve">Depending on where you live, you have some or all of these rights: to know whether we process your data and to access it; to correct it; to delete it; to object to or restrict its processing; to receive it in a portable format; to withdraw consent at any time, without affecting earlier processing; not to be subject to decisions based solely on automated processing, and to obtain human review; to refuse secondary purposes (Mexico); and to lodge a complaint with a supervisory authority. Exercising your rights is free of charge, and we will not treat you differently for doing so.</w:t>
      </w:r>
    </w:p>
    <w:p>
      <w:pPr/>
      <w:r>
        <w:rPr>
          <w:b/>
        </w:rPr>
        <w:t xml:space="preserve">How to make a request.</w:t>
      </w:r>
      <w:r>
        <w:t xml:space="preserve"> Write to soporte@muud.app, use the data request form linked as "Delete account" in the footer of https://muud.app, or, from the EU/EEA, the United Kingdom or Switzerland, contact our representative DataRep (Section 12.1). Parents and guardians can make requests for their children, and you can act through an authorized agent with proof of authorization.</w:t>
      </w:r>
    </w:p>
    <w:p>
      <w:pPr/>
      <w:r>
        <w:rPr>
          <w:b/>
        </w:rPr>
        <w:t xml:space="preserve">Verification.</w:t>
      </w:r>
      <w:r>
        <w:t xml:space="preserve"> To protect your data, we verify your identity, or your authority to act for someone else, using the information already associated with the account where possible. We use the information provided only for that purpose.</w:t>
      </w:r>
    </w:p>
    <w:p>
      <w:pPr/>
      <w:r>
        <w:rPr>
          <w:b/>
        </w:rPr>
        <w:t xml:space="preserve">If you use MUUD through a school or employer</w:t>
      </w:r>
      <w:r>
        <w:t xml:space="preserve">, that organization controls your data. We will forward your request to it without undue delay and help it respond, or respond directly when the organization instructs us to.</w:t>
      </w:r>
    </w:p>
    <w:p>
      <w:pPr/>
      <w:r>
        <w:rPr>
          <w:b/>
        </w:rPr>
        <w:t xml:space="preserve">Response times.</w:t>
      </w:r>
      <w:r>
        <w:t xml:space="preserve"> We respond within the time required by the law that applies to you: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 you live</w:t>
            </w:r>
          </w:p>
        </w:tc>
        <w:tc>
          <w:tcPr>
            <w:tcW w:w="3120" w:type="dxa"/>
            <w:shd w:val="clear" w:color="auto" w:fill="F2F2F2"/>
          </w:tcPr>
          <w:p>
            <w:pPr/>
            <w:r>
              <w:t xml:space="preserve">Response time</w:t>
            </w:r>
          </w:p>
        </w:tc>
        <w:tc>
          <w:tcPr>
            <w:tcW w:w="3120" w:type="dxa"/>
            <w:shd w:val="clear" w:color="auto" w:fill="F2F2F2"/>
          </w:tcPr>
          <w:p>
            <w:pPr/>
            <w:r>
              <w:t xml:space="preserve">Supervisory authority</w:t>
            </w:r>
          </w:p>
        </w:tc>
      </w:tr>
      <w:tr>
        <w:tc>
          <w:tcPr>
            <w:tcW w:w="3120" w:type="dxa"/>
          </w:tcPr>
          <w:p>
            <w:pPr/>
            <w:r>
              <w:t xml:space="preserve">EU/EEA</w:t>
            </w:r>
          </w:p>
        </w:tc>
        <w:tc>
          <w:tcPr>
            <w:tcW w:w="3120" w:type="dxa"/>
          </w:tcPr>
          <w:p>
            <w:pPr/>
            <w:r>
              <w:t xml:space="preserve">1 month, extendable by 2 months for complex requests</w:t>
            </w:r>
          </w:p>
        </w:tc>
        <w:tc>
          <w:tcPr>
            <w:tcW w:w="3120" w:type="dxa"/>
          </w:tcPr>
          <w:p>
            <w:pPr/>
            <w:r>
              <w:t xml:space="preserve">The data protection authority of your member state (in Spain, the Agencia Española de Protección de Datos)</w:t>
            </w:r>
          </w:p>
        </w:tc>
      </w:tr>
      <w:tr>
        <w:tc>
          <w:tcPr>
            <w:tcW w:w="3120" w:type="dxa"/>
          </w:tcPr>
          <w:p>
            <w:pPr/>
            <w:r>
              <w:t xml:space="preserve">United Kingdom</w:t>
            </w:r>
          </w:p>
        </w:tc>
        <w:tc>
          <w:tcPr>
            <w:tcW w:w="3120" w:type="dxa"/>
          </w:tcPr>
          <w:p>
            <w:pPr/>
            <w:r>
              <w:t xml:space="preserve">1 month, extendable by 2 months</w:t>
            </w:r>
          </w:p>
        </w:tc>
        <w:tc>
          <w:tcPr>
            <w:tcW w:w="3120" w:type="dxa"/>
          </w:tcPr>
          <w:p>
            <w:pPr/>
            <w:r>
              <w:t xml:space="preserve">Information Commissioner's Office</w:t>
            </w:r>
          </w:p>
        </w:tc>
      </w:tr>
      <w:tr>
        <w:tc>
          <w:tcPr>
            <w:tcW w:w="3120" w:type="dxa"/>
          </w:tcPr>
          <w:p>
            <w:pPr/>
            <w:r>
              <w:t xml:space="preserve">Switzerland</w:t>
            </w:r>
          </w:p>
        </w:tc>
        <w:tc>
          <w:tcPr>
            <w:tcW w:w="3120" w:type="dxa"/>
          </w:tcPr>
          <w:p>
            <w:pPr/>
            <w:r>
              <w:t xml:space="preserve">30 days</w:t>
            </w:r>
          </w:p>
        </w:tc>
        <w:tc>
          <w:tcPr>
            <w:tcW w:w="3120" w:type="dxa"/>
          </w:tcPr>
          <w:p>
            <w:pPr/>
            <w:r>
              <w:t xml:space="preserve">Federal Data Protection and Information Commissioner</w:t>
            </w:r>
          </w:p>
        </w:tc>
      </w:tr>
      <w:tr>
        <w:tc>
          <w:tcPr>
            <w:tcW w:w="3120" w:type="dxa"/>
          </w:tcPr>
          <w:p>
            <w:pPr/>
            <w:r>
              <w:t xml:space="preserve">Brazil</w:t>
            </w:r>
          </w:p>
        </w:tc>
        <w:tc>
          <w:tcPr>
            <w:tcW w:w="3120" w:type="dxa"/>
          </w:tcPr>
          <w:p>
            <w:pPr/>
            <w:r>
              <w:t xml:space="preserve">Simplified confirmation immediately; complete response within 15 days</w:t>
            </w:r>
          </w:p>
        </w:tc>
        <w:tc>
          <w:tcPr>
            <w:tcW w:w="3120" w:type="dxa"/>
          </w:tcPr>
          <w:p>
            <w:pPr/>
            <w:r>
              <w:t xml:space="preserve">Autoridade Nacional de Proteção de Dados (ANPD)</w:t>
            </w:r>
          </w:p>
        </w:tc>
      </w:tr>
      <w:tr>
        <w:tc>
          <w:tcPr>
            <w:tcW w:w="3120" w:type="dxa"/>
          </w:tcPr>
          <w:p>
            <w:pPr/>
            <w:r>
              <w:t xml:space="preserve">Chile</w:t>
            </w:r>
          </w:p>
        </w:tc>
        <w:tc>
          <w:tcPr>
            <w:tcW w:w="3120" w:type="dxa"/>
          </w:tcPr>
          <w:p>
            <w:pPr/>
            <w:r>
              <w:t xml:space="preserve">2 business days under Law No. 19.628; from December 1, 2026, 30 calendar days, extendable once by 30, under Law No. 21.719</w:t>
            </w:r>
          </w:p>
        </w:tc>
        <w:tc>
          <w:tcPr>
            <w:tcW w:w="3120" w:type="dxa"/>
          </w:tcPr>
          <w:p>
            <w:pPr/>
            <w:r>
              <w:t xml:space="preserve">Agencia de Protección de Datos Personales (from December 1, 2026)</w:t>
            </w:r>
          </w:p>
        </w:tc>
      </w:tr>
      <w:tr>
        <w:tc>
          <w:tcPr>
            <w:tcW w:w="3120" w:type="dxa"/>
          </w:tcPr>
          <w:p>
            <w:pPr/>
            <w:r>
              <w:t xml:space="preserve">Mexico</w:t>
            </w:r>
          </w:p>
        </w:tc>
        <w:tc>
          <w:tcPr>
            <w:tcW w:w="3120" w:type="dxa"/>
          </w:tcPr>
          <w:p>
            <w:pPr/>
            <w:r>
              <w:t xml:space="preserve">20 business days to respond, and 15 business days to carry out the decision</w:t>
            </w:r>
          </w:p>
        </w:tc>
        <w:tc>
          <w:tcPr>
            <w:tcW w:w="3120" w:type="dxa"/>
          </w:tcPr>
          <w:p>
            <w:pPr/>
            <w:r>
              <w:t xml:space="preserve">Secretaría Anticorrupción y Buen Gobierno</w:t>
            </w:r>
          </w:p>
        </w:tc>
      </w:tr>
      <w:tr>
        <w:tc>
          <w:tcPr>
            <w:tcW w:w="3120" w:type="dxa"/>
          </w:tcPr>
          <w:p>
            <w:pPr/>
            <w:r>
              <w:t xml:space="preserve">United States</w:t>
            </w:r>
          </w:p>
        </w:tc>
        <w:tc>
          <w:tcPr>
            <w:tcW w:w="3120" w:type="dxa"/>
          </w:tcPr>
          <w:p>
            <w:pPr/>
            <w:r>
              <w:t xml:space="preserve">45 days, extendable by 45 days</w:t>
            </w:r>
          </w:p>
        </w:tc>
        <w:tc>
          <w:tcPr>
            <w:tcW w:w="3120" w:type="dxa"/>
          </w:tcPr>
          <w:p>
            <w:pPr/>
            <w:r>
              <w:t xml:space="preserve">The Attorney General or privacy agency of your state</w:t>
            </w:r>
          </w:p>
        </w:tc>
      </w:tr>
      <w:tr>
        <w:tc>
          <w:tcPr>
            <w:tcW w:w="3120" w:type="dxa"/>
          </w:tcPr>
          <w:p>
            <w:pPr/>
            <w:r>
              <w:t xml:space="preserve">Other countries</w:t>
            </w:r>
          </w:p>
        </w:tc>
        <w:tc>
          <w:tcPr>
            <w:tcW w:w="3120" w:type="dxa"/>
          </w:tcPr>
          <w:p>
            <w:pPr/>
            <w:r>
              <w:t xml:space="preserve">The period set by local law, and no more than 30 days</w:t>
            </w:r>
          </w:p>
        </w:tc>
        <w:tc>
          <w:tcPr>
            <w:tcW w:w="3120" w:type="dxa"/>
          </w:tcPr>
          <w:p>
            <w:pPr/>
            <w:r>
              <w:t xml:space="preserve">Your local data protection authority</w:t>
            </w:r>
          </w:p>
        </w:tc>
      </w:tr>
    </w:tbl>
    <w:p>
      <w:pPr/>
      <w:r>
        <w:t xml:space="preserve">If we deny a request, we will explain why and how to appeal. U.S. residents can appeal by writing to soporte@muud.app with "Appeal" in the subject; we answer within 60 days.</w:t>
      </w:r>
    </w:p>
    <w:p>
      <w:pPr>
        <w:pStyle w:val="Heading3"/>
      </w:pPr>
      <w:r>
        <w:t xml:space="preserve">12.1 Our Representative in the EU/EEA, the United Kingdom and Switzerland</w:t>
      </w:r>
    </w:p>
    <w:p>
      <w:pPr/>
      <w:r>
        <w:t xml:space="preserve">Data Protection Representative Limited, trading as DataRep, represents MUUD SpA under GDPR Art. 27, UK GDPR Art. 27 and FADP Art. 14. You can contact DataRep by email at datarequest@datarep.com, quoting "MUUD SpA" in the subject line; through the webform at www.datarep.com/data-request; or by post at the most convenient address below. </w:t>
      </w:r>
      <w:r>
        <w:rPr>
          <w:b/>
        </w:rPr>
        <w:t xml:space="preserve">Letters must be addressed to "DataRep", not to MUUD SpA, or they may not arrive, and should refer clearly to MUUD SpA.</w:t>
      </w:r>
      <w:r>
        <w:t xml:space="preserve"> MUUD may ask for evidence of your identity before acting on a request.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Country</w:t>
            </w:r>
          </w:p>
        </w:tc>
        <w:tc>
          <w:tcPr>
            <w:tcW w:w="4680" w:type="dxa"/>
            <w:shd w:val="clear" w:color="auto" w:fill="F2F2F2"/>
          </w:tcPr>
          <w:p>
            <w:pPr/>
            <w:r>
              <w:t xml:space="preserve">Address</w:t>
            </w:r>
          </w:p>
        </w:tc>
      </w:tr>
      <w:tr>
        <w:tc>
          <w:tcPr>
            <w:tcW w:w="4680" w:type="dxa"/>
          </w:tcPr>
          <w:p>
            <w:pPr/>
            <w:r>
              <w:t xml:space="preserve">Austria</w:t>
            </w:r>
          </w:p>
        </w:tc>
        <w:tc>
          <w:tcPr>
            <w:tcW w:w="4680" w:type="dxa"/>
          </w:tcPr>
          <w:p>
            <w:pPr/>
            <w:r>
              <w:t xml:space="preserve">DataRep, City Tower, Brückenkopfgasse 1/6. Stock, Graz, 8020, Austria</w:t>
            </w:r>
          </w:p>
        </w:tc>
      </w:tr>
      <w:tr>
        <w:tc>
          <w:tcPr>
            <w:tcW w:w="4680" w:type="dxa"/>
          </w:tcPr>
          <w:p>
            <w:pPr/>
            <w:r>
              <w:t xml:space="preserve">Belgium</w:t>
            </w:r>
          </w:p>
        </w:tc>
        <w:tc>
          <w:tcPr>
            <w:tcW w:w="4680" w:type="dxa"/>
          </w:tcPr>
          <w:p>
            <w:pPr/>
            <w:r>
              <w:t xml:space="preserve">DataRep, Rue des Colonies 11, Brussels, 1000, Belgium</w:t>
            </w:r>
          </w:p>
        </w:tc>
      </w:tr>
      <w:tr>
        <w:tc>
          <w:tcPr>
            <w:tcW w:w="4680" w:type="dxa"/>
          </w:tcPr>
          <w:p>
            <w:pPr/>
            <w:r>
              <w:t xml:space="preserve">Bulgaria</w:t>
            </w:r>
          </w:p>
        </w:tc>
        <w:tc>
          <w:tcPr>
            <w:tcW w:w="4680" w:type="dxa"/>
          </w:tcPr>
          <w:p>
            <w:pPr/>
            <w:r>
              <w:t xml:space="preserve">DataRep, 25 Vitosha blvd. Fl. 2, office 4, 1000, Sofia, Bulgaria</w:t>
            </w:r>
          </w:p>
        </w:tc>
      </w:tr>
      <w:tr>
        <w:tc>
          <w:tcPr>
            <w:tcW w:w="4680" w:type="dxa"/>
          </w:tcPr>
          <w:p>
            <w:pPr/>
            <w:r>
              <w:t xml:space="preserve">Croatia</w:t>
            </w:r>
          </w:p>
        </w:tc>
        <w:tc>
          <w:tcPr>
            <w:tcW w:w="4680" w:type="dxa"/>
          </w:tcPr>
          <w:p>
            <w:pPr/>
            <w:r>
              <w:t xml:space="preserve">DataRep, Ground &amp; 9th Floor, Hoto Tower, Savska cesta 32, Zagreb, 10000, Croatia</w:t>
            </w:r>
          </w:p>
        </w:tc>
      </w:tr>
      <w:tr>
        <w:tc>
          <w:tcPr>
            <w:tcW w:w="4680" w:type="dxa"/>
          </w:tcPr>
          <w:p>
            <w:pPr/>
            <w:r>
              <w:t xml:space="preserve">Cyprus</w:t>
            </w:r>
          </w:p>
        </w:tc>
        <w:tc>
          <w:tcPr>
            <w:tcW w:w="4680" w:type="dxa"/>
          </w:tcPr>
          <w:p>
            <w:pPr/>
            <w:r>
              <w:t xml:space="preserve">DataRep, Victory House, 205 Archbishop Makarios Avenue, Limassol, 3030, Cyprus</w:t>
            </w:r>
          </w:p>
        </w:tc>
      </w:tr>
      <w:tr>
        <w:tc>
          <w:tcPr>
            <w:tcW w:w="4680" w:type="dxa"/>
          </w:tcPr>
          <w:p>
            <w:pPr/>
            <w:r>
              <w:t xml:space="preserve">Czech Republic</w:t>
            </w:r>
          </w:p>
        </w:tc>
        <w:tc>
          <w:tcPr>
            <w:tcW w:w="4680" w:type="dxa"/>
          </w:tcPr>
          <w:p>
            <w:pPr/>
            <w:r>
              <w:t xml:space="preserve">DataRep, Platan Office, 28. října 205/45, Floor 3&amp;4, Ostrava, 70200, Czech Republic</w:t>
            </w:r>
          </w:p>
        </w:tc>
      </w:tr>
      <w:tr>
        <w:tc>
          <w:tcPr>
            <w:tcW w:w="4680" w:type="dxa"/>
          </w:tcPr>
          <w:p>
            <w:pPr/>
            <w:r>
              <w:t xml:space="preserve">Denmark</w:t>
            </w:r>
          </w:p>
        </w:tc>
        <w:tc>
          <w:tcPr>
            <w:tcW w:w="4680" w:type="dxa"/>
          </w:tcPr>
          <w:p>
            <w:pPr/>
            <w:r>
              <w:t xml:space="preserve">DataRep, Lautruphøj 1-3, Ballerup, 2750, Denmark</w:t>
            </w:r>
          </w:p>
        </w:tc>
      </w:tr>
      <w:tr>
        <w:tc>
          <w:tcPr>
            <w:tcW w:w="4680" w:type="dxa"/>
          </w:tcPr>
          <w:p>
            <w:pPr/>
            <w:r>
              <w:t xml:space="preserve">Estonia</w:t>
            </w:r>
          </w:p>
        </w:tc>
        <w:tc>
          <w:tcPr>
            <w:tcW w:w="4680" w:type="dxa"/>
          </w:tcPr>
          <w:p>
            <w:pPr/>
            <w:r>
              <w:t xml:space="preserve">DataRep, 2nd Floor, Tornimae 5, Tallinn, 10145, Estonia</w:t>
            </w:r>
          </w:p>
        </w:tc>
      </w:tr>
      <w:tr>
        <w:tc>
          <w:tcPr>
            <w:tcW w:w="4680" w:type="dxa"/>
          </w:tcPr>
          <w:p>
            <w:pPr/>
            <w:r>
              <w:t xml:space="preserve">Finland</w:t>
            </w:r>
          </w:p>
        </w:tc>
        <w:tc>
          <w:tcPr>
            <w:tcW w:w="4680" w:type="dxa"/>
          </w:tcPr>
          <w:p>
            <w:pPr/>
            <w:r>
              <w:t xml:space="preserve">DataRep, Luna House, 5.krs, Mannerheimintie 12 B, Helsinki, 00100, Finland</w:t>
            </w:r>
          </w:p>
        </w:tc>
      </w:tr>
      <w:tr>
        <w:tc>
          <w:tcPr>
            <w:tcW w:w="4680" w:type="dxa"/>
          </w:tcPr>
          <w:p>
            <w:pPr/>
            <w:r>
              <w:t xml:space="preserve">France</w:t>
            </w:r>
          </w:p>
        </w:tc>
        <w:tc>
          <w:tcPr>
            <w:tcW w:w="4680" w:type="dxa"/>
          </w:tcPr>
          <w:p>
            <w:pPr/>
            <w:r>
              <w:t xml:space="preserve">DataRep, 72 rue de Lessard, Rouen, 76100, France</w:t>
            </w:r>
          </w:p>
        </w:tc>
      </w:tr>
      <w:tr>
        <w:tc>
          <w:tcPr>
            <w:tcW w:w="4680" w:type="dxa"/>
          </w:tcPr>
          <w:p>
            <w:pPr/>
            <w:r>
              <w:t xml:space="preserve">Germany</w:t>
            </w:r>
          </w:p>
        </w:tc>
        <w:tc>
          <w:tcPr>
            <w:tcW w:w="4680" w:type="dxa"/>
          </w:tcPr>
          <w:p>
            <w:pPr/>
            <w:r>
              <w:t xml:space="preserve">DataRep, 3rd and 4th floor, Altmarkt 10 B/D, Dresden, 01067, Germany</w:t>
            </w:r>
          </w:p>
        </w:tc>
      </w:tr>
      <w:tr>
        <w:tc>
          <w:tcPr>
            <w:tcW w:w="4680" w:type="dxa"/>
          </w:tcPr>
          <w:p>
            <w:pPr/>
            <w:r>
              <w:t xml:space="preserve">Greece</w:t>
            </w:r>
          </w:p>
        </w:tc>
        <w:tc>
          <w:tcPr>
            <w:tcW w:w="4680" w:type="dxa"/>
          </w:tcPr>
          <w:p>
            <w:pPr/>
            <w:r>
              <w:t xml:space="preserve">DataRep, Ippodamias Sq. 8, 4th floor, Piraeus, Attica, Greece</w:t>
            </w:r>
          </w:p>
        </w:tc>
      </w:tr>
      <w:tr>
        <w:tc>
          <w:tcPr>
            <w:tcW w:w="4680" w:type="dxa"/>
          </w:tcPr>
          <w:p>
            <w:pPr/>
            <w:r>
              <w:t xml:space="preserve">Hungary</w:t>
            </w:r>
          </w:p>
        </w:tc>
        <w:tc>
          <w:tcPr>
            <w:tcW w:w="4680" w:type="dxa"/>
          </w:tcPr>
          <w:p>
            <w:pPr/>
            <w:r>
              <w:t xml:space="preserve">DataRep, 1054 Honved street, 8 1/2, Budapest, Hungary</w:t>
            </w:r>
          </w:p>
        </w:tc>
      </w:tr>
      <w:tr>
        <w:tc>
          <w:tcPr>
            <w:tcW w:w="4680" w:type="dxa"/>
          </w:tcPr>
          <w:p>
            <w:pPr/>
            <w:r>
              <w:t xml:space="preserve">Iceland</w:t>
            </w:r>
          </w:p>
        </w:tc>
        <w:tc>
          <w:tcPr>
            <w:tcW w:w="4680" w:type="dxa"/>
          </w:tcPr>
          <w:p>
            <w:pPr/>
            <w:r>
              <w:t xml:space="preserve">DataRep, Laugavegur 13, 101 Reykjavik, Iceland</w:t>
            </w:r>
          </w:p>
        </w:tc>
      </w:tr>
      <w:tr>
        <w:tc>
          <w:tcPr>
            <w:tcW w:w="4680" w:type="dxa"/>
          </w:tcPr>
          <w:p>
            <w:pPr/>
            <w:r>
              <w:t xml:space="preserve">Ireland</w:t>
            </w:r>
          </w:p>
        </w:tc>
        <w:tc>
          <w:tcPr>
            <w:tcW w:w="4680" w:type="dxa"/>
          </w:tcPr>
          <w:p>
            <w:pPr/>
            <w:r>
              <w:t xml:space="preserve">DataRep, 77 Camden Street Lower, Dublin, D02 XE80, Ireland</w:t>
            </w:r>
          </w:p>
        </w:tc>
      </w:tr>
      <w:tr>
        <w:tc>
          <w:tcPr>
            <w:tcW w:w="4680" w:type="dxa"/>
          </w:tcPr>
          <w:p>
            <w:pPr/>
            <w:r>
              <w:t xml:space="preserve">Italy</w:t>
            </w:r>
          </w:p>
        </w:tc>
        <w:tc>
          <w:tcPr>
            <w:tcW w:w="4680" w:type="dxa"/>
          </w:tcPr>
          <w:p>
            <w:pPr/>
            <w:r>
              <w:t xml:space="preserve">DataRep, Viale Giorgio Ribotta 11, Piano 1, Rome, Lazio, 00144, Italy</w:t>
            </w:r>
          </w:p>
        </w:tc>
      </w:tr>
      <w:tr>
        <w:tc>
          <w:tcPr>
            <w:tcW w:w="4680" w:type="dxa"/>
          </w:tcPr>
          <w:p>
            <w:pPr/>
            <w:r>
              <w:t xml:space="preserve">Latvia</w:t>
            </w:r>
          </w:p>
        </w:tc>
        <w:tc>
          <w:tcPr>
            <w:tcW w:w="4680" w:type="dxa"/>
          </w:tcPr>
          <w:p>
            <w:pPr/>
            <w:r>
              <w:t xml:space="preserve">DataRep, 4th &amp; 5th floors, 14 Terbatas Street, Riga, LV-1011, Latvia</w:t>
            </w:r>
          </w:p>
        </w:tc>
      </w:tr>
      <w:tr>
        <w:tc>
          <w:tcPr>
            <w:tcW w:w="4680" w:type="dxa"/>
          </w:tcPr>
          <w:p>
            <w:pPr/>
            <w:r>
              <w:t xml:space="preserve">Liechtenstein</w:t>
            </w:r>
          </w:p>
        </w:tc>
        <w:tc>
          <w:tcPr>
            <w:tcW w:w="4680" w:type="dxa"/>
          </w:tcPr>
          <w:p>
            <w:pPr/>
            <w:r>
              <w:t xml:space="preserve">DataRep, City Tower, Brückenkopfgasse 1/6. Stock, Graz, 8020, Austria</w:t>
            </w:r>
          </w:p>
        </w:tc>
      </w:tr>
      <w:tr>
        <w:tc>
          <w:tcPr>
            <w:tcW w:w="4680" w:type="dxa"/>
          </w:tcPr>
          <w:p>
            <w:pPr/>
            <w:r>
              <w:t xml:space="preserve">Lithuania</w:t>
            </w:r>
          </w:p>
        </w:tc>
        <w:tc>
          <w:tcPr>
            <w:tcW w:w="4680" w:type="dxa"/>
          </w:tcPr>
          <w:p>
            <w:pPr/>
            <w:r>
              <w:t xml:space="preserve">DataRep, 44A Gedimino Avenue, 01110 Vilnius, Lithuania</w:t>
            </w:r>
          </w:p>
        </w:tc>
      </w:tr>
      <w:tr>
        <w:tc>
          <w:tcPr>
            <w:tcW w:w="4680" w:type="dxa"/>
          </w:tcPr>
          <w:p>
            <w:pPr/>
            <w:r>
              <w:t xml:space="preserve">Luxembourg</w:t>
            </w:r>
          </w:p>
        </w:tc>
        <w:tc>
          <w:tcPr>
            <w:tcW w:w="4680" w:type="dxa"/>
          </w:tcPr>
          <w:p>
            <w:pPr/>
            <w:r>
              <w:t xml:space="preserve">DataRep, BPM 335368, Banzelt 4 A, 6921, Roodt-sur-Syre, Luxembourg</w:t>
            </w:r>
          </w:p>
        </w:tc>
      </w:tr>
      <w:tr>
        <w:tc>
          <w:tcPr>
            <w:tcW w:w="4680" w:type="dxa"/>
          </w:tcPr>
          <w:p>
            <w:pPr/>
            <w:r>
              <w:t xml:space="preserve">Malta</w:t>
            </w:r>
          </w:p>
        </w:tc>
        <w:tc>
          <w:tcPr>
            <w:tcW w:w="4680" w:type="dxa"/>
          </w:tcPr>
          <w:p>
            <w:pPr/>
            <w:r>
              <w:t xml:space="preserve">DataRep, Tower Business Centre, 2nd floor, Tower Street, Swatar, BKR4013, Malta</w:t>
            </w:r>
          </w:p>
        </w:tc>
      </w:tr>
      <w:tr>
        <w:tc>
          <w:tcPr>
            <w:tcW w:w="4680" w:type="dxa"/>
          </w:tcPr>
          <w:p>
            <w:pPr/>
            <w:r>
              <w:t xml:space="preserve">Netherlands</w:t>
            </w:r>
          </w:p>
        </w:tc>
        <w:tc>
          <w:tcPr>
            <w:tcW w:w="4680" w:type="dxa"/>
          </w:tcPr>
          <w:p>
            <w:pPr/>
            <w:r>
              <w:t xml:space="preserve">DataRep, De Nieuwe Erven 3 Unit 15162, 5431 NV Cuijk, Netherlands</w:t>
            </w:r>
          </w:p>
        </w:tc>
      </w:tr>
      <w:tr>
        <w:tc>
          <w:tcPr>
            <w:tcW w:w="4680" w:type="dxa"/>
          </w:tcPr>
          <w:p>
            <w:pPr/>
            <w:r>
              <w:t xml:space="preserve">Norway</w:t>
            </w:r>
          </w:p>
        </w:tc>
        <w:tc>
          <w:tcPr>
            <w:tcW w:w="4680" w:type="dxa"/>
          </w:tcPr>
          <w:p>
            <w:pPr/>
            <w:r>
              <w:t xml:space="preserve">DataRep, C.J. Hambros Plass 2c, Oslo, 0164, Norway</w:t>
            </w:r>
          </w:p>
        </w:tc>
      </w:tr>
      <w:tr>
        <w:tc>
          <w:tcPr>
            <w:tcW w:w="4680" w:type="dxa"/>
          </w:tcPr>
          <w:p>
            <w:pPr/>
            <w:r>
              <w:t xml:space="preserve">Poland</w:t>
            </w:r>
          </w:p>
        </w:tc>
        <w:tc>
          <w:tcPr>
            <w:tcW w:w="4680" w:type="dxa"/>
          </w:tcPr>
          <w:p>
            <w:pPr/>
            <w:r>
              <w:t xml:space="preserve">DataRep, Budynek Fronton ul Kamienna 21, Krakow, 31-403, Poland</w:t>
            </w:r>
          </w:p>
        </w:tc>
      </w:tr>
      <w:tr>
        <w:tc>
          <w:tcPr>
            <w:tcW w:w="4680" w:type="dxa"/>
          </w:tcPr>
          <w:p>
            <w:pPr/>
            <w:r>
              <w:t xml:space="preserve">Portugal</w:t>
            </w:r>
          </w:p>
        </w:tc>
        <w:tc>
          <w:tcPr>
            <w:tcW w:w="4680" w:type="dxa"/>
          </w:tcPr>
          <w:p>
            <w:pPr/>
            <w:r>
              <w:t xml:space="preserve">DataRep, Torre de Monsanto, Rua Afonso Praça 30, 7th floor, Algès, Lisbon, 1495-061, Portugal</w:t>
            </w:r>
          </w:p>
        </w:tc>
      </w:tr>
      <w:tr>
        <w:tc>
          <w:tcPr>
            <w:tcW w:w="4680" w:type="dxa"/>
          </w:tcPr>
          <w:p>
            <w:pPr/>
            <w:r>
              <w:t xml:space="preserve">Romania</w:t>
            </w:r>
          </w:p>
        </w:tc>
        <w:tc>
          <w:tcPr>
            <w:tcW w:w="4680" w:type="dxa"/>
          </w:tcPr>
          <w:p>
            <w:pPr/>
            <w:r>
              <w:t xml:space="preserve">DataRep, 15 Piața Charles de Gaulle, nr. 1-T, București, Sectorul 1, 011857, Romania</w:t>
            </w:r>
          </w:p>
        </w:tc>
      </w:tr>
      <w:tr>
        <w:tc>
          <w:tcPr>
            <w:tcW w:w="4680" w:type="dxa"/>
          </w:tcPr>
          <w:p>
            <w:pPr/>
            <w:r>
              <w:t xml:space="preserve">Slovakia</w:t>
            </w:r>
          </w:p>
        </w:tc>
        <w:tc>
          <w:tcPr>
            <w:tcW w:w="4680" w:type="dxa"/>
          </w:tcPr>
          <w:p>
            <w:pPr/>
            <w:r>
              <w:t xml:space="preserve">DataRep, Apollo Business Centre II, Block E / 9th floor, 4D Prievozska, Bratislava, 821 09, Slovakia</w:t>
            </w:r>
          </w:p>
        </w:tc>
      </w:tr>
      <w:tr>
        <w:tc>
          <w:tcPr>
            <w:tcW w:w="4680" w:type="dxa"/>
          </w:tcPr>
          <w:p>
            <w:pPr/>
            <w:r>
              <w:t xml:space="preserve">Slovenia</w:t>
            </w:r>
          </w:p>
        </w:tc>
        <w:tc>
          <w:tcPr>
            <w:tcW w:w="4680" w:type="dxa"/>
          </w:tcPr>
          <w:p>
            <w:pPr/>
            <w:r>
              <w:t xml:space="preserve">DataRep, Trg. Republike 3, Floor 3, Ljubljana, 1000, Slovenia</w:t>
            </w:r>
          </w:p>
        </w:tc>
      </w:tr>
      <w:tr>
        <w:tc>
          <w:tcPr>
            <w:tcW w:w="4680" w:type="dxa"/>
          </w:tcPr>
          <w:p>
            <w:pPr/>
            <w:r>
              <w:t xml:space="preserve">Spain</w:t>
            </w:r>
          </w:p>
        </w:tc>
        <w:tc>
          <w:tcPr>
            <w:tcW w:w="4680" w:type="dxa"/>
          </w:tcPr>
          <w:p>
            <w:pPr/>
            <w:r>
              <w:t xml:space="preserve">DataRep, Calle de Manzanares 4, Madrid, 28005, Spain</w:t>
            </w:r>
          </w:p>
        </w:tc>
      </w:tr>
      <w:tr>
        <w:tc>
          <w:tcPr>
            <w:tcW w:w="4680" w:type="dxa"/>
          </w:tcPr>
          <w:p>
            <w:pPr/>
            <w:r>
              <w:t xml:space="preserve">Sweden</w:t>
            </w:r>
          </w:p>
        </w:tc>
        <w:tc>
          <w:tcPr>
            <w:tcW w:w="4680" w:type="dxa"/>
          </w:tcPr>
          <w:p>
            <w:pPr/>
            <w:r>
              <w:t xml:space="preserve">DataRep, S:t Johannesgatan 2, 4th floor, Malmo, SE-211 46, Sweden</w:t>
            </w:r>
          </w:p>
        </w:tc>
      </w:tr>
      <w:tr>
        <w:tc>
          <w:tcPr>
            <w:tcW w:w="4680" w:type="dxa"/>
          </w:tcPr>
          <w:p>
            <w:pPr/>
            <w:r>
              <w:t xml:space="preserve">Switzerland</w:t>
            </w:r>
          </w:p>
        </w:tc>
        <w:tc>
          <w:tcPr>
            <w:tcW w:w="4680" w:type="dxa"/>
          </w:tcPr>
          <w:p>
            <w:pPr/>
            <w:r>
              <w:t xml:space="preserve">DataRep, Leutschenbachstrasse 95, Zurich, 8050, Switzerland</w:t>
            </w:r>
          </w:p>
        </w:tc>
      </w:tr>
      <w:tr>
        <w:tc>
          <w:tcPr>
            <w:tcW w:w="4680" w:type="dxa"/>
          </w:tcPr>
          <w:p>
            <w:pPr/>
            <w:r>
              <w:t xml:space="preserve">United Kingdom</w:t>
            </w:r>
          </w:p>
        </w:tc>
        <w:tc>
          <w:tcPr>
            <w:tcW w:w="4680" w:type="dxa"/>
          </w:tcPr>
          <w:p>
            <w:pPr/>
            <w:r>
              <w:t xml:space="preserve">DataRep, 107-111 Fleet Street, London, EC4A 2AB, United Kingdom</w:t>
            </w:r>
          </w:p>
        </w:tc>
      </w:tr>
    </w:tbl>
    <w:p>
      <w:pPr>
        <w:pStyle w:val="Heading2"/>
      </w:pPr>
      <w:r>
        <w:t xml:space="preserve">13. Information for Specific Countries</w:t>
      </w:r>
    </w:p>
    <w:p>
      <w:pPr>
        <w:pStyle w:val="Heading3"/>
      </w:pPr>
      <w:r>
        <w:t xml:space="preserve">13.1 European Union, EEA, United Kingdom and Switzerland</w:t>
      </w:r>
    </w:p>
    <w:p>
      <w:pPr/>
      <w:r>
        <w:t xml:space="preserve">The GDPR, the UK GDPR and the Swiss FADP apply. Where MUUD is controller, the legal bases are those in Section 6. You have the right to object at any time to processing based on legitimate interests, and to direct marketing without giving reasons. There is no automated decision-making within the meaning of GDPR Art. 22. MUUD is not established in the EU and therefore has no lead supervisory authority: you can complain to the authority of your country of residence, work or the place of the alleged infringement.</w:t>
      </w:r>
    </w:p>
    <w:p>
      <w:pPr>
        <w:pStyle w:val="Heading3"/>
      </w:pPr>
      <w:r>
        <w:t xml:space="preserve">13.2 Spain</w:t>
      </w:r>
    </w:p>
    <w:p>
      <w:pPr/>
      <w:r>
        <w:t xml:space="preserve">In addition to the GDPR, the LOPDGDD applies. Data of students under 14 is processed with the consent of those holding parental authority, or on another legal basis established by the school under Spanish education law. You can complain to the Agencia Española de Protección de Datos (www.aepd.es).</w:t>
      </w:r>
    </w:p>
    <w:p>
      <w:pPr>
        <w:pStyle w:val="Heading3"/>
      </w:pPr>
      <w:r>
        <w:t xml:space="preserve">13.3 Brazil</w:t>
      </w:r>
    </w:p>
    <w:p>
      <w:pPr/>
      <w:r>
        <w:t xml:space="preserve">The LGPD and the ECA Digital (Law No. 15.211/2025) apply. You have the rights in LGPD Art. 18: confirmation of processing, access, correction, anonymization, blocking or deletion of unnecessary or excessive data, portability, deletion of data processed on the basis of consent, information about sharing, information about the possibility of refusing consent and its consequences, revocation of consent, and review of automated decisions (Art. 20). MUUD has not appointed an encarregado. For school and workplace customers in Brazil, MUUD acts as operator on the customer's behalf, and the customer, as controller, is the point of contact for its data subjects. For the limited processing MUUD carries out as controller (customer and prospect contact data), MUUD maintains a communication channel for data subjects and for the ANPD at soporte@muud.app, which receives complaints and communications, provides clarifications and adopts the necessary measures, performing the functions described in LGPD Art. 41, paragraph 2. Data of children and adolescents is processed in their best interest, with the protections described in Section 7.</w:t>
      </w:r>
    </w:p>
    <w:p>
      <w:pPr>
        <w:pStyle w:val="Heading3"/>
      </w:pPr>
      <w:r>
        <w:t xml:space="preserve">13.4 Chile</w:t>
      </w:r>
    </w:p>
    <w:p>
      <w:pPr/>
      <w:r>
        <w:t xml:space="preserve">Law No. 19.628 applies and, from December 1, 2026, Law No. 21.719. You have the rights of access, rectification, erasure (supresión), objection, portability and blocking, and the right not to be subject to decisions based solely on automated processing. From December 1, 2026, you can complain to the Agencia de Protección de Datos Personales if we do not respond or you disagree with our response.</w:t>
      </w:r>
    </w:p>
    <w:p>
      <w:pPr>
        <w:pStyle w:val="Heading3"/>
      </w:pPr>
      <w:r>
        <w:t xml:space="preserve">13.5 Mexico: Privacy Notice (Aviso de Privacidad)</w:t>
      </w:r>
    </w:p>
    <w:p>
      <w:pPr/>
      <w:r>
        <w:t xml:space="preserve">The controller (responsable) for the data MUUD processes on its own behalf is MUUD SpA, with domicile at Av. Presidente Kennedy 5600, Of. 507, Vitacura, Santiago, Chile. For school and workplace deployments, the responsable is your school or employer, and MUUD acts as encargado. The data we process, its purposes (primary and secondary), the sensitive data involved and the recipients are described in Sections 3 to 8. MUUD does not make transfers that require your consent. Where MUUD is controller, sensitive data is processed only with your express written consent, given in the App. You can exercise your ARCO rights (access, rectification, cancellation and opposition), revoke your consent, or limit the use or disclosure of your data by writing to soporte@muud.app with your name, a copy of an identification document or proof of representation, a clear description of the data and the right you want to exercise, and any document that helps locate the data. We will respond within 20 business days and carry out the decision within 15 business days. Changes to this notice will be published on https://muud.app/politica-de-privacidad and, if material, notified by email or in the App.</w:t>
      </w:r>
    </w:p>
    <w:p>
      <w:pPr>
        <w:pStyle w:val="Heading3"/>
      </w:pPr>
      <w:r>
        <w:t xml:space="preserve">13.6 United States</w:t>
      </w:r>
    </w:p>
    <w:p>
      <w:pPr/>
      <w:r>
        <w:rPr>
          <w:b/>
        </w:rPr>
        <w:t xml:space="preserve">Students.</w:t>
      </w:r>
      <w:r>
        <w:t xml:space="preserve"> MUUD acts as a school official under FERPA, relies on school authorization under COPPA for students under 13 (Section 7), and complies with applicable state student privacy laws, including California's SOPIPA, Illinois' SOPPA and Washington's RCW 28A.604: no targeted advertising, no sale of student data, and no profiling for non-educational purposes.</w:t>
      </w:r>
    </w:p>
    <w:p>
      <w:pPr/>
      <w:r>
        <w:rPr>
          <w:b/>
        </w:rPr>
        <w:t xml:space="preserve">State consumer privacy laws.</w:t>
      </w:r>
      <w:r>
        <w:t xml:space="preserve"> Residents of states with consumer privacy laws, including California, Colorado, Connecticut, Virginia and others, have the rights described in Section 12, including to know, access, correct, delete and port their data, and to appeal a denial. In the last 12 months we collected the categories of personal information described in Section 3: identifiers, customer records, internet and network activity, professional information, and sensitive personal information (account login and emotional wellbeing information). We use sensitive personal information only to provide the Services, as permitted by law. We disclosed these categories for business purposes only to the service providers in Section 8. </w:t>
      </w:r>
      <w:r>
        <w:rPr>
          <w:b/>
        </w:rPr>
        <w:t xml:space="preserve">We do not sell or share personal information, and we do not use it for targeted advertising or for profiling with legal or similarly significant effects</w:t>
      </w:r>
      <w:r>
        <w:t xml:space="preserve">; because we do not sell or share it, there is nothing to opt out of, and we treat browser opt-out signals such as Global Privacy Control as a confirmation of that choice. We do not disclose personal information to third parties for their direct marketing purposes (California Civil Code 1798.83).</w:t>
      </w:r>
    </w:p>
    <w:p>
      <w:pPr>
        <w:pStyle w:val="Heading3"/>
      </w:pPr>
      <w:r>
        <w:t xml:space="preserve">13.7 Other Countries</w:t>
      </w:r>
    </w:p>
    <w:p>
      <w:pPr/>
      <w:r>
        <w:t xml:space="preserve">In Argentina, Colombia, Peru and any other country where MUUD is used, we apply the local data protection law, and you can exercise the rights it grants you through the channels in Section 12 and complain to your local authority.</w:t>
      </w:r>
    </w:p>
    <w:p>
      <w:pPr>
        <w:pStyle w:val="Heading2"/>
      </w:pPr>
      <w:r>
        <w:t xml:space="preserve">14. Cookies</w:t>
      </w:r>
    </w:p>
    <w:p>
      <w:pPr/>
      <w:r>
        <w:t xml:space="preserve">The App does not use cookies or similar technologies for tracking or advertising. The Site uses strictly necessary cookies to function. If the Site uses analytics cookies, they are only set after you accept them, and they are kept for no more than 13 months. You can refuse or delete cookies in your browser settings at any time; strictly necessary cookies cannot be disabled without affecting the Site.</w:t>
      </w:r>
    </w:p>
    <w:p>
      <w:pPr>
        <w:pStyle w:val="Heading2"/>
      </w:pPr>
      <w:r>
        <w:t xml:space="preserve">15. Changes to This Policy</w:t>
      </w:r>
    </w:p>
    <w:p>
      <w:pPr/>
      <w:r>
        <w:t xml:space="preserve">We will update this Policy when our practices or the law change. For material changes, we will notify institutional customers by email and users in the App at least 30 days before the changes take effect, and ask for new consent where the law requires it. The date at the top shows when it was last updated, and prior versions are available on request.</w:t>
      </w:r>
    </w:p>
    <w:p>
      <w:pPr>
        <w:pStyle w:val="Heading2"/>
      </w:pPr>
      <w:r>
        <w:t xml:space="preserve">16. Contact</w:t>
      </w:r>
    </w:p>
    <w:p>
      <w:pPr/>
      <w:r>
        <w:t xml:space="preserve">MUUD SpA, RUT 77.634.166-5</w:t>
      </w:r>
      <w:r>
        <w:br/>
      </w:r>
      <w:r>
        <w:t xml:space="preserve">Av. Presidente Kennedy 5600, Of. 507, Vitacura, Santiago, Chile</w:t>
      </w:r>
      <w:r>
        <w:br/>
      </w:r>
      <w:r>
        <w:t xml:space="preserve">Privacy and data requests: soporte@muud.app</w:t>
      </w:r>
      <w:r>
        <w:br/>
      </w:r>
      <w:r>
        <w:t xml:space="preserve">Data request and account deletion form: "Delete account" link in the footer of https://muud.app</w:t>
      </w:r>
      <w:r>
        <w:br/>
      </w:r>
      <w:r>
        <w:t xml:space="preserve">Telephone: +56 9 2691 3974</w:t>
      </w:r>
      <w:r>
        <w:br/>
      </w:r>
      <w:r>
        <w:t xml:space="preserve">Representative in the EU/EEA, the United Kingdom and Switzerland: DataRep, datarequest@datarep.com (Section 12.1)</w:t>
      </w:r>
    </w:p>
    <w:p>
      <w:pPr/>
      <w:r>
        <w:t xml:space="preserve">© 2026 MUUD SpA. All rights reserved.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MUUD Privacy Policy</dc:title>
  <dc:description>Claude Docs node/71815471-f4a7@23 docx-w6</dc:description>
  <cp:revision>23</cp:revision>
</cp:coreProperties>
</file>