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Política de Privacidad de MUUD</w:t>
      </w:r>
    </w:p>
    <w:p>
      <w:pPr/>
      <w:r>
        <w:t xml:space="preserve">Última actualización: 24 de septiembre de 2026. Fecha de vigencia: 26 de octubre de 2026 para los usuarios existentes; para los nuevos usuarios, desde su publicación. Esta Política reemplaza el aviso de privacidad del 20 de julio de 2024.</w:t>
      </w:r>
    </w:p>
    <w:p>
      <w:pPr/>
      <w:r>
        <w:t xml:space="preserve">Esta Política de Privacidad explica cómo MUUD recopila, usa, comparte y protege los datos personales cuando colegios, empresas y personas usan el sitio web de MUUD (https://muud.app), las aplicaciones MUUD para teléfono, tablet y web, incluidas school.muud.app y business.muud.app, y los servicios relacionados (los "Servicios"). Los términos con mayúscula no definidos aquí tienen el significado que les dan los Términos de Servicio de MUUD.</w:t>
      </w:r>
    </w:p>
    <w:p>
      <w:pPr>
        <w:pStyle w:val="Heading2"/>
      </w:pPr>
      <w:r>
        <w:t xml:space="preserve">Resumen</w:t>
      </w:r>
    </w:p>
    <w:p>
      <w:pPr>
        <w:pStyle w:val="ListParagraph"/>
        <w:numPr>
          <w:ilvl w:val="0"/>
          <w:numId w:val="2"/>
        </w:numPr>
      </w:pPr>
      <w:r>
        <w:rPr>
          <w:b/>
        </w:rPr>
        <w:t xml:space="preserve">Su colegio o empleador decide.</w:t>
      </w:r>
      <w:r>
        <w:t xml:space="preserve"> Cuando usa MUUD a través de un colegio o empresa, esa organización es la responsable de sus datos, y MUUD los trata por cuenta de ella y según sus instrucciones.</w:t>
      </w:r>
    </w:p>
    <w:p>
      <w:pPr>
        <w:pStyle w:val="ListParagraph"/>
        <w:numPr>
          <w:ilvl w:val="0"/>
          <w:numId w:val="2"/>
        </w:numPr>
      </w:pPr>
      <w:r>
        <w:rPr>
          <w:b/>
        </w:rPr>
        <w:t xml:space="preserve">El texto libre es privado.</w:t>
      </w:r>
      <w:r>
        <w:t xml:space="preserve"> Lo que un estudiante escribe en texto libre nunca se muestra al personal del colegio. El personal ve indicadores y alertas, para que un adulto capacitado pueda acercarse al estudiante.</w:t>
      </w:r>
    </w:p>
    <w:p>
      <w:pPr>
        <w:pStyle w:val="ListParagraph"/>
        <w:numPr>
          <w:ilvl w:val="0"/>
          <w:numId w:val="2"/>
        </w:numPr>
      </w:pPr>
      <w:r>
        <w:rPr>
          <w:b/>
        </w:rPr>
        <w:t xml:space="preserve">Sin venta, sin publicidad, sin entrenamiento de IA.</w:t>
      </w:r>
      <w:r>
        <w:t xml:space="preserve"> No vendemos datos personales, no mostramos publicidad y no usamos sus datos para entrenar modelos de IA.</w:t>
      </w:r>
    </w:p>
    <w:p>
      <w:pPr>
        <w:pStyle w:val="ListParagraph"/>
        <w:numPr>
          <w:ilvl w:val="0"/>
          <w:numId w:val="2"/>
        </w:numPr>
      </w:pPr>
      <w:r>
        <w:rPr>
          <w:b/>
        </w:rPr>
        <w:t xml:space="preserve">Alojados en Estados Unidos.</w:t>
      </w:r>
      <w:r>
        <w:t xml:space="preserve"> Todos los datos tratados a través de los Servicios se almacenan en Estados Unidos. Nuestro equipo en Chile accede a ellos de forma remota.</w:t>
      </w:r>
    </w:p>
    <w:p>
      <w:pPr>
        <w:pStyle w:val="ListParagraph"/>
        <w:numPr>
          <w:ilvl w:val="0"/>
          <w:numId w:val="2"/>
        </w:numPr>
      </w:pPr>
      <w:r>
        <w:rPr>
          <w:b/>
        </w:rPr>
        <w:t xml:space="preserve">Sus derechos.</w:t>
      </w:r>
      <w:r>
        <w:t xml:space="preserve"> Puede solicitar el acceso, la rectificación, la eliminación o la portabilidad de sus datos, entre otros derechos, escribiendo a soporte@muud.app o a través de nuestro representante europeo, DataRep.</w:t>
      </w:r>
    </w:p>
    <w:p>
      <w:pPr>
        <w:pStyle w:val="Heading2"/>
      </w:pPr>
      <w:r>
        <w:t xml:space="preserve">1. Quiénes somos</w:t>
      </w:r>
    </w:p>
    <w:p>
      <w:pPr/>
      <w:r>
        <w:t xml:space="preserve">MUUD SpA ("MUUD", "nosotros"), RUT 77.634.166-5, con domicilio en Av. Presidente Kennedy 5600, Of. 507, Vitacura, Santiago, Chile, presta los Servicios. Para los clientes cuya Orden se firma con MUUD Inc., sociedad de Delaware de propiedad total de MUUD SpA, MUUD Inc. es la entidad contratante; ambas aplican esta Política.</w:t>
      </w:r>
    </w:p>
    <w:p>
      <w:pPr/>
      <w:r>
        <w:rPr>
          <w:b/>
        </w:rPr>
        <w:t xml:space="preserve">Contacto para temas de privacidad:</w:t>
      </w:r>
      <w:r>
        <w:t xml:space="preserve"> soporte@muud.app, o el formulario de solicitudes enlazado como "Delete account" en el pie de página de https://muud.app.</w:t>
      </w:r>
    </w:p>
    <w:p>
      <w:pPr/>
      <w:r>
        <w:rPr>
          <w:b/>
        </w:rPr>
        <w:t xml:space="preserve">Delegado de protección de datos.</w:t>
      </w:r>
      <w:r>
        <w:t xml:space="preserve"> MUUD no ha designado un delegado de protección de datos, porque ninguno de los supuestos del art. 37.1 del RGPD ni del art. 34 de la LOPDGDD se aplica a su tratamiento. Los asuntos de privacidad los gestiona internamente el Privacy Officer de MUUD a través del contacto indicado. Por las mismas razones de rol y alcance, MUUD tampoco ha designado un encarregado conforme a la LGPD de Brasil (Sección 13.3).</w:t>
      </w:r>
    </w:p>
    <w:p>
      <w:pPr/>
      <w:r>
        <w:rPr>
          <w:b/>
        </w:rPr>
        <w:t xml:space="preserve">Representante en la UE/EEE, el Reino Unido y Suiza.</w:t>
      </w:r>
      <w:r>
        <w:t xml:space="preserve"> Conforme al art. 27 del RGPD, el art. 27 del UK GDPR y el art. 14 de la nLPD suiza, MUUD ha designado a Data Protection Representative Limited, que opera como DataRep, 77 Camden Street Lower, Dublín, D02 XE80, Irlanda. Vea la Sección 12.1 para saber cómo contactar a DataRep en su país.</w:t>
      </w:r>
    </w:p>
    <w:p>
      <w:pPr>
        <w:pStyle w:val="Heading2"/>
      </w:pPr>
      <w:r>
        <w:t xml:space="preserve">2. Alcance y nuestro rol</w:t>
      </w:r>
    </w:p>
    <w:p>
      <w:pPr/>
      <w:r>
        <w:t xml:space="preserve">MUUD actúa en dos roles distintos, y esta Política explica ambos.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Situación</w:t>
            </w:r>
          </w:p>
        </w:tc>
        <w:tc>
          <w:tcPr>
            <w:tcW w:w="3120" w:type="dxa"/>
            <w:shd w:val="clear" w:color="auto" w:fill="F2F2F2"/>
          </w:tcPr>
          <w:p>
            <w:pPr/>
            <w:r>
              <w:t xml:space="preserve">Quién decide cómo se usan los datos (responsable)</w:t>
            </w:r>
          </w:p>
        </w:tc>
        <w:tc>
          <w:tcPr>
            <w:tcW w:w="3120" w:type="dxa"/>
            <w:shd w:val="clear" w:color="auto" w:fill="F2F2F2"/>
          </w:tcPr>
          <w:p>
            <w:pPr/>
            <w:r>
              <w:t xml:space="preserve">Rol de MUUD</w:t>
            </w:r>
          </w:p>
        </w:tc>
      </w:tr>
      <w:tr>
        <w:tc>
          <w:tcPr>
            <w:tcW w:w="3120" w:type="dxa"/>
          </w:tcPr>
          <w:p>
            <w:pPr/>
            <w:r>
              <w:t xml:space="preserve">Estudiantes, docentes y personal que usan MUUD a través de su colegio</w:t>
            </w:r>
          </w:p>
        </w:tc>
        <w:tc>
          <w:tcPr>
            <w:tcW w:w="3120" w:type="dxa"/>
          </w:tcPr>
          <w:p>
            <w:pPr/>
            <w:r>
              <w:t xml:space="preserve">El colegio o su sostenedor, o el distrito escolar</w:t>
            </w:r>
          </w:p>
        </w:tc>
        <w:tc>
          <w:tcPr>
            <w:tcW w:w="3120" w:type="dxa"/>
          </w:tcPr>
          <w:p>
            <w:pPr/>
            <w:r>
              <w:t xml:space="preserve">Encargado (operador), en virtud de un Anexo de Tratamiento de Datos</w:t>
            </w:r>
          </w:p>
        </w:tc>
      </w:tr>
      <w:tr>
        <w:tc>
          <w:tcPr>
            <w:tcW w:w="3120" w:type="dxa"/>
          </w:tcPr>
          <w:p>
            <w:pPr/>
            <w:r>
              <w:t xml:space="preserve">Trabajadores y miembros de equipos que usan MUUD a través de su empleador</w:t>
            </w:r>
          </w:p>
        </w:tc>
        <w:tc>
          <w:tcPr>
            <w:tcW w:w="3120" w:type="dxa"/>
          </w:tcPr>
          <w:p>
            <w:pPr/>
            <w:r>
              <w:t xml:space="preserve">El empleador</w:t>
            </w:r>
          </w:p>
        </w:tc>
        <w:tc>
          <w:tcPr>
            <w:tcW w:w="3120" w:type="dxa"/>
          </w:tcPr>
          <w:p>
            <w:pPr/>
            <w:r>
              <w:t xml:space="preserve">Encargado, en virtud de un Anexo de Tratamiento de Datos</w:t>
            </w:r>
          </w:p>
        </w:tc>
      </w:tr>
      <w:tr>
        <w:tc>
          <w:tcPr>
            <w:tcW w:w="3120" w:type="dxa"/>
          </w:tcPr>
          <w:p>
            <w:pPr/>
            <w:r>
              <w:t xml:space="preserve">Padres, madres o apoderados, cuando el colegio habilita su acceso</w:t>
            </w:r>
          </w:p>
        </w:tc>
        <w:tc>
          <w:tcPr>
            <w:tcW w:w="3120" w:type="dxa"/>
          </w:tcPr>
          <w:p>
            <w:pPr/>
            <w:r>
              <w:t xml:space="preserve">El colegio</w:t>
            </w:r>
          </w:p>
        </w:tc>
        <w:tc>
          <w:tcPr>
            <w:tcW w:w="3120" w:type="dxa"/>
          </w:tcPr>
          <w:p>
            <w:pPr/>
            <w:r>
              <w:t xml:space="preserve">Encargado</w:t>
            </w:r>
          </w:p>
        </w:tc>
      </w:tr>
      <w:tr>
        <w:tc>
          <w:tcPr>
            <w:tcW w:w="3120" w:type="dxa"/>
          </w:tcPr>
          <w:p>
            <w:pPr/>
            <w:r>
              <w:t xml:space="preserve">Usuarios Individuales con cuenta propia</w:t>
            </w:r>
          </w:p>
        </w:tc>
        <w:tc>
          <w:tcPr>
            <w:tcW w:w="3120" w:type="dxa"/>
          </w:tcPr>
          <w:p>
            <w:pPr/>
            <w:r>
              <w:t xml:space="preserve">MUUD</w:t>
            </w:r>
          </w:p>
        </w:tc>
        <w:tc>
          <w:tcPr>
            <w:tcW w:w="3120" w:type="dxa"/>
          </w:tcPr>
          <w:p>
            <w:pPr/>
            <w:r>
              <w:t xml:space="preserve">Responsable</w:t>
            </w:r>
          </w:p>
        </w:tc>
      </w:tr>
      <w:tr>
        <w:tc>
          <w:tcPr>
            <w:tcW w:w="3120" w:type="dxa"/>
          </w:tcPr>
          <w:p>
            <w:pPr/>
            <w:r>
              <w:t xml:space="preserve">Contactos de clientes, prospectos, visitantes del sitio web y personas que contactan a soporte</w:t>
            </w:r>
          </w:p>
        </w:tc>
        <w:tc>
          <w:tcPr>
            <w:tcW w:w="3120" w:type="dxa"/>
          </w:tcPr>
          <w:p>
            <w:pPr/>
            <w:r>
              <w:t xml:space="preserve">MUUD</w:t>
            </w:r>
          </w:p>
        </w:tc>
        <w:tc>
          <w:tcPr>
            <w:tcW w:w="3120" w:type="dxa"/>
          </w:tcPr>
          <w:p>
            <w:pPr/>
            <w:r>
              <w:t xml:space="preserve">Responsable</w:t>
            </w:r>
          </w:p>
        </w:tc>
      </w:tr>
      <w:tr>
        <w:tc>
          <w:tcPr>
            <w:tcW w:w="3120" w:type="dxa"/>
          </w:tcPr>
          <w:p>
            <w:pPr/>
            <w:r>
              <w:t xml:space="preserve">Seguridad, prevención de fraude y cumplimiento de las obligaciones legales de MUUD</w:t>
            </w:r>
          </w:p>
        </w:tc>
        <w:tc>
          <w:tcPr>
            <w:tcW w:w="3120" w:type="dxa"/>
          </w:tcPr>
          <w:p>
            <w:pPr/>
            <w:r>
              <w:t xml:space="preserve">MUUD</w:t>
            </w:r>
          </w:p>
        </w:tc>
        <w:tc>
          <w:tcPr>
            <w:tcW w:w="3120" w:type="dxa"/>
          </w:tcPr>
          <w:p>
            <w:pPr/>
            <w:r>
              <w:t xml:space="preserve">Responsable</w:t>
            </w:r>
          </w:p>
        </w:tc>
      </w:tr>
    </w:tbl>
    <w:p>
      <w:pPr/>
      <w:r>
        <w:t xml:space="preserve">Cuando MUUD es encargado, también se aplica el aviso de privacidad del colegio o empleador, y las solicitudes sobre sus datos se atenderán junto con esa organización (Sección 12).</w:t>
      </w:r>
    </w:p>
    <w:p>
      <w:pPr/>
      <w:r>
        <w:t xml:space="preserve">Esta Política no cubre la información de salud protegida tratada para prestadores de salud en Estados Unidos en virtud de un Business Associate Agreement conforme a HIPAA. Esa información se rige por el acuerdo con el prestador y por su Notice of Privacy Practices.</w:t>
      </w:r>
    </w:p>
    <w:p>
      <w:pPr>
        <w:pStyle w:val="Heading2"/>
      </w:pPr>
      <w:r>
        <w:t xml:space="preserve">3. Datos personales que tratamos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Quién</w:t>
            </w:r>
          </w:p>
        </w:tc>
        <w:tc>
          <w:tcPr>
            <w:tcW w:w="3120" w:type="dxa"/>
            <w:shd w:val="clear" w:color="auto" w:fill="F2F2F2"/>
          </w:tcPr>
          <w:p>
            <w:pPr/>
            <w:r>
              <w:t xml:space="preserve">Datos</w:t>
            </w:r>
          </w:p>
        </w:tc>
        <w:tc>
          <w:tcPr>
            <w:tcW w:w="3120" w:type="dxa"/>
            <w:shd w:val="clear" w:color="auto" w:fill="F2F2F2"/>
          </w:tcPr>
          <w:p>
            <w:pPr/>
            <w:r>
              <w:t xml:space="preserve">De dónde provienen</w:t>
            </w:r>
          </w:p>
        </w:tc>
      </w:tr>
      <w:tr>
        <w:tc>
          <w:tcPr>
            <w:tcW w:w="3120" w:type="dxa"/>
          </w:tcPr>
          <w:p>
            <w:pPr/>
            <w:r>
              <w:t xml:space="preserve">Estudiantes</w:t>
            </w:r>
          </w:p>
        </w:tc>
        <w:tc>
          <w:tcPr>
            <w:tcW w:w="3120" w:type="dxa"/>
          </w:tcPr>
          <w:p>
            <w:pPr/>
            <w:r>
              <w:t xml:space="preserve">Identificación: nombre, colegio, curso o nivel, y el nombre de usuario o correo asignado por el colegio. Credenciales de la cuenta. Respuestas de los check-ins (emociones seleccionadas y respuestas), mensajes intercambiados con el asistente conversacional de check-in, entradas de texto libre. Datos generados por los Servicios: indicadores de bienestar, alertas y resúmenes del historial. Datos técnicos (ver más abajo)</w:t>
            </w:r>
          </w:p>
        </w:tc>
        <w:tc>
          <w:tcPr>
            <w:tcW w:w="3120" w:type="dxa"/>
          </w:tcPr>
          <w:p>
            <w:pPr/>
            <w:r>
              <w:t xml:space="preserve">La nómina del colegio, el estudiante y los Servicios</w:t>
            </w:r>
          </w:p>
        </w:tc>
      </w:tr>
      <w:tr>
        <w:tc>
          <w:tcPr>
            <w:tcW w:w="3120" w:type="dxa"/>
          </w:tcPr>
          <w:p>
            <w:pPr/>
            <w:r>
              <w:t xml:space="preserve">Docentes y personal del colegio</w:t>
            </w:r>
          </w:p>
        </w:tc>
        <w:tc>
          <w:tcPr>
            <w:tcW w:w="3120" w:type="dxa"/>
          </w:tcPr>
          <w:p>
            <w:pPr/>
            <w:r>
              <w:t xml:space="preserve">Nombre, correo, cargo, cursos asignados, sus propios check-ins si el colegio los habilita, y su actividad en la plataforma, como la revisión y el seguimiento de alertas</w:t>
            </w:r>
          </w:p>
        </w:tc>
        <w:tc>
          <w:tcPr>
            <w:tcW w:w="3120" w:type="dxa"/>
          </w:tcPr>
          <w:p>
            <w:pPr/>
            <w:r>
              <w:t xml:space="preserve">El colegio y el funcionario</w:t>
            </w:r>
          </w:p>
        </w:tc>
      </w:tr>
      <w:tr>
        <w:tc>
          <w:tcPr>
            <w:tcW w:w="3120" w:type="dxa"/>
          </w:tcPr>
          <w:p>
            <w:pPr/>
            <w:r>
              <w:t xml:space="preserve">Trabajadores de clientes empresariales</w:t>
            </w:r>
          </w:p>
        </w:tc>
        <w:tc>
          <w:tcPr>
            <w:tcW w:w="3120" w:type="dxa"/>
          </w:tcPr>
          <w:p>
            <w:pPr/>
            <w:r>
              <w:t xml:space="preserve">Nombre, correo laboral, equipo o área, respuestas de check-ins, mensajes con el asistente de check-in, entradas de texto libre, indicadores y alertas</w:t>
            </w:r>
          </w:p>
        </w:tc>
        <w:tc>
          <w:tcPr>
            <w:tcW w:w="3120" w:type="dxa"/>
          </w:tcPr>
          <w:p>
            <w:pPr/>
            <w:r>
              <w:t xml:space="preserve">El empleador y el trabajador</w:t>
            </w:r>
          </w:p>
        </w:tc>
      </w:tr>
      <w:tr>
        <w:tc>
          <w:tcPr>
            <w:tcW w:w="3120" w:type="dxa"/>
          </w:tcPr>
          <w:p>
            <w:pPr/>
            <w:r>
              <w:t xml:space="preserve">Padres, madres y apoderados (sólo cuando el colegio lo habilita)</w:t>
            </w:r>
          </w:p>
        </w:tc>
        <w:tc>
          <w:tcPr>
            <w:tcW w:w="3120" w:type="dxa"/>
          </w:tcPr>
          <w:p>
            <w:pPr/>
            <w:r>
              <w:t xml:space="preserve">Nombre, correo y relación con el estudiante</w:t>
            </w:r>
          </w:p>
        </w:tc>
        <w:tc>
          <w:tcPr>
            <w:tcW w:w="3120" w:type="dxa"/>
          </w:tcPr>
          <w:p>
            <w:pPr/>
            <w:r>
              <w:t xml:space="preserve">El colegio y el apoderado</w:t>
            </w:r>
          </w:p>
        </w:tc>
      </w:tr>
      <w:tr>
        <w:tc>
          <w:tcPr>
            <w:tcW w:w="3120" w:type="dxa"/>
          </w:tcPr>
          <w:p>
            <w:pPr/>
            <w:r>
              <w:t xml:space="preserve">Usuarios Individuales</w:t>
            </w:r>
          </w:p>
        </w:tc>
        <w:tc>
          <w:tcPr>
            <w:tcW w:w="3120" w:type="dxa"/>
          </w:tcPr>
          <w:p>
            <w:pPr/>
            <w:r>
              <w:t xml:space="preserve">Nombre, correo, credenciales, check-ins, mensajes con el asistente, entradas de texto libre, indicadores, confirmaciones de compra de la tienda de aplicaciones (nunca recibimos números de tarjeta)</w:t>
            </w:r>
          </w:p>
        </w:tc>
        <w:tc>
          <w:tcPr>
            <w:tcW w:w="3120" w:type="dxa"/>
          </w:tcPr>
          <w:p>
            <w:pPr/>
            <w:r>
              <w:t xml:space="preserve">El usuario y la tienda de aplicaciones</w:t>
            </w:r>
          </w:p>
        </w:tc>
      </w:tr>
      <w:tr>
        <w:tc>
          <w:tcPr>
            <w:tcW w:w="3120" w:type="dxa"/>
          </w:tcPr>
          <w:p>
            <w:pPr/>
            <w:r>
              <w:t xml:space="preserve">Contactos de clientes y prospectos</w:t>
            </w:r>
          </w:p>
        </w:tc>
        <w:tc>
          <w:tcPr>
            <w:tcW w:w="3120" w:type="dxa"/>
          </w:tcPr>
          <w:p>
            <w:pPr/>
            <w:r>
              <w:t xml:space="preserve">Nombre, cargo, organización, correo y teléfono laborales, y nuestras comunicaciones con ellos</w:t>
            </w:r>
          </w:p>
        </w:tc>
        <w:tc>
          <w:tcPr>
            <w:tcW w:w="3120" w:type="dxa"/>
          </w:tcPr>
          <w:p>
            <w:pPr/>
            <w:r>
              <w:t xml:space="preserve">La persona, su organización y fuentes profesionales públicas</w:t>
            </w:r>
          </w:p>
        </w:tc>
      </w:tr>
      <w:tr>
        <w:tc>
          <w:tcPr>
            <w:tcW w:w="3120" w:type="dxa"/>
          </w:tcPr>
          <w:p>
            <w:pPr/>
            <w:r>
              <w:t xml:space="preserve">Visitantes del sitio web</w:t>
            </w:r>
          </w:p>
        </w:tc>
        <w:tc>
          <w:tcPr>
            <w:tcW w:w="3120" w:type="dxa"/>
          </w:tcPr>
          <w:p>
            <w:pPr/>
            <w:r>
              <w:t xml:space="preserve">Dirección IP, tipo de navegador y dispositivo, páginas visitadas, origen de la visita, datos de cookies (Sección 14)</w:t>
            </w:r>
          </w:p>
        </w:tc>
        <w:tc>
          <w:tcPr>
            <w:tcW w:w="3120" w:type="dxa"/>
          </w:tcPr>
          <w:p>
            <w:pPr/>
            <w:r>
              <w:t xml:space="preserve">Automáticamente, desde el navegador</w:t>
            </w:r>
          </w:p>
        </w:tc>
      </w:tr>
      <w:tr>
        <w:tc>
          <w:tcPr>
            <w:tcW w:w="3120" w:type="dxa"/>
          </w:tcPr>
          <w:p>
            <w:pPr/>
            <w:r>
              <w:t xml:space="preserve">Personas que nos contactan o hacen una solicitud de datos</w:t>
            </w:r>
          </w:p>
        </w:tc>
        <w:tc>
          <w:tcPr>
            <w:tcW w:w="3120" w:type="dxa"/>
          </w:tcPr>
          <w:p>
            <w:pPr/>
            <w:r>
              <w:t xml:space="preserve">Datos de contacto, contenido de la solicitud, información necesaria para verificar la identidad o la representación, y el resultado de la solicitud</w:t>
            </w:r>
          </w:p>
        </w:tc>
        <w:tc>
          <w:tcPr>
            <w:tcW w:w="3120" w:type="dxa"/>
          </w:tcPr>
          <w:p>
            <w:pPr/>
            <w:r>
              <w:t xml:space="preserve">La persona que hace la solicitud</w:t>
            </w:r>
          </w:p>
        </w:tc>
      </w:tr>
    </w:tbl>
    <w:p>
      <w:pPr/>
      <w:r>
        <w:rPr>
          <w:b/>
        </w:rPr>
        <w:t xml:space="preserve">Datos técnicos</w:t>
      </w:r>
      <w:r>
        <w:t xml:space="preserve"> de todos los usuarios de la App: tipo y modelo de dispositivo, sistema operativo, versión de la app, idioma, dirección IP, fechas y horas, reportes de errores y registros de seguridad. Los usamos para operar, proteger y dar soporte a los Servicios.</w:t>
      </w:r>
    </w:p>
    <w:p>
      <w:pPr/>
      <w:r>
        <w:rPr>
          <w:b/>
        </w:rPr>
        <w:t xml:space="preserve">Cámara y micrófono.</w:t>
      </w:r>
      <w:r>
        <w:t xml:space="preserve"> La App pide acceso a la cámara sólo para que los estudiantes escaneen el código QR con el que inician sesión. La imagen de la cámara se usa en el dispositivo para leer el código y no se guarda ni se envía a MUUD. La App pide acceso al micrófono sólo si el usuario elige dictar en lugar de escribir, en el diario de emociones o al reflexionar con Muudy, el asistente de check-in. El audio lo convierte en texto el servicio de reconocimiento de voz del sistema operativo del dispositivo o, en la versión web, del navegador (por ejemplo, Apple o Google). MUUD recibe sólo el texto resultante, que se trata como cualquier otra entrada de texto libre, y no recibe, guarda ni analiza el audio. Ambos permisos son opcionales, se piden sólo al usar la funcionalidad y pueden retirarse en cualquier momento desde la configuración del dispositivo.</w:t>
      </w:r>
    </w:p>
    <w:p>
      <w:pPr/>
      <w:r>
        <w:rPr>
          <w:b/>
        </w:rPr>
        <w:t xml:space="preserve">Lo que no recopilamos.</w:t>
      </w:r>
      <w:r>
        <w:t xml:space="preserve"> La App no accede a la ubicación precisa, los contactos ni las fotos, no usa identificadores publicitarios y no ofrece inicio de sesión con redes sociales. MUUD no usa datos biométricos, como imágenes faciales, voz o señales fisiológicas, para inferir emociones: la información emocional en MUUD proviene sólo de lo que los usuarios eligen informar.</w:t>
      </w:r>
    </w:p>
    <w:p>
      <w:pPr>
        <w:pStyle w:val="Heading2"/>
      </w:pPr>
      <w:r>
        <w:t xml:space="preserve">4. Datos sensibles y lo que puede ver el personal del colegio</w:t>
      </w:r>
    </w:p>
    <w:p>
      <w:pPr/>
      <w:r>
        <w:rPr>
          <w:b/>
        </w:rPr>
        <w:t xml:space="preserve">El texto libre y las alertas se tratan como datos sensibles.</w:t>
      </w:r>
      <w:r>
        <w:t xml:space="preserve"> Las entradas de texto libre, los mensajes intercambiados con el asistente de check-in y los registros de alertas tempranas pueden revelar información sobre el estado emocional de una persona. MUUD los trata como datos personales sensibles en todas las leyes aplicables (categorías especiales según el art. 9 del RGPD, "dados pessoais sensíveis" según la LGPD, "datos sensibles" según la ley chilena y mexicana) y les aplica controles reforzados de confidencialidad, acceso y seguridad. Para colegios y empleadores, la base legal de este tratamiento la establece la organización como responsable. Cuando un estudiante se registra con un código de curso, la App además le pide su consentimiento expreso para este tratamiento antes del primer check-in; cuando el colegio crea las cuentas mediante carga masiva, el colegio verifica los consentimientos requeridos antes de enviarnos la nómina.</w:t>
      </w:r>
    </w:p>
    <w:p>
      <w:pPr/>
      <w:r>
        <w:rPr>
          <w:b/>
        </w:rPr>
        <w:t xml:space="preserve">Lo que puede ver cada persona.</w:t>
      </w:r>
    </w:p>
    <w:p>
      <w:pPr>
        <w:pStyle w:val="ListParagraph"/>
        <w:numPr>
          <w:ilvl w:val="0"/>
          <w:numId w:val="3"/>
        </w:numPr>
      </w:pPr>
      <w:r>
        <w:t xml:space="preserve">El estudiante, trabajador o Usuario Individual ve sus propios check-ins, conversaciones y entradas de texto libre.</w:t>
      </w:r>
    </w:p>
    <w:p>
      <w:pPr>
        <w:pStyle w:val="ListParagraph"/>
        <w:numPr>
          <w:ilvl w:val="0"/>
          <w:numId w:val="3"/>
        </w:numPr>
      </w:pPr>
      <w:r>
        <w:t xml:space="preserve">El personal designado del colegio o empleador ve los indicadores y alertas derivados de los check-ins, y reportes agregados por grupo. Nunca ve el contenido de las entradas de texto libre ni de las conversaciones con el asistente.</w:t>
      </w:r>
    </w:p>
    <w:p>
      <w:pPr>
        <w:pStyle w:val="ListParagraph"/>
        <w:numPr>
          <w:ilvl w:val="0"/>
          <w:numId w:val="3"/>
        </w:numPr>
      </w:pPr>
      <w:r>
        <w:t xml:space="preserve">El personal de MUUD accede a datos personales sólo cuando es necesario para operar, proteger y dar soporte a los Servicios, o para responder a una solicitud del cliente, y el acceso está limitado a un número reducido de personas autorizadas.</w:t>
      </w:r>
    </w:p>
    <w:p>
      <w:pPr>
        <w:pStyle w:val="Heading2"/>
      </w:pPr>
      <w:r>
        <w:t xml:space="preserve">5. Funcionalidades asistidas por IA</w:t>
      </w:r>
    </w:p>
    <w:p>
      <w:pPr/>
      <w:r>
        <w:t xml:space="preserve">El asistente conversacional de check-in de MUUD, Muudy, los resúmenes del historial de check-ins y la generación de indicadores y alertas usan modelos de lenguaje de proveedores externos que actúan como subencargados de MUUD (Sección 8): Anthropic, PBC como proveedor principal, y OpenAI, L.L.C. sólo como respaldo en los Servicios para colegios y lugares de trabajo si el servicio de Anthropic no está disponible.</w:t>
      </w:r>
    </w:p>
    <w:p>
      <w:pPr>
        <w:pStyle w:val="ListParagraph"/>
        <w:numPr>
          <w:ilvl w:val="0"/>
          <w:numId w:val="4"/>
        </w:numPr>
      </w:pPr>
      <w:r>
        <w:t xml:space="preserve">La App informa a los usuarios que conversan con un asistente automatizado y no con una persona. Las respuestas se generan en tiempo real sin revisión humana previa.</w:t>
      </w:r>
    </w:p>
    <w:p>
      <w:pPr>
        <w:pStyle w:val="ListParagraph"/>
        <w:numPr>
          <w:ilvl w:val="0"/>
          <w:numId w:val="4"/>
        </w:numPr>
      </w:pPr>
      <w:r>
        <w:t xml:space="preserve">Enviamos a los proveedores sólo lo necesario para generar cada respuesta, resumen o indicador. Los proveedores los tratan por cuenta de MUUD, en virtud de condiciones contractuales que les prohíben usarlos para entrenar sus modelos, y los conservan sólo durante los plazos limitados que fijan esas condiciones para fines de seguridad y control de abusos.</w:t>
      </w:r>
    </w:p>
    <w:p>
      <w:pPr>
        <w:pStyle w:val="ListParagraph"/>
        <w:numPr>
          <w:ilvl w:val="0"/>
          <w:numId w:val="4"/>
        </w:numPr>
      </w:pPr>
      <w:r>
        <w:t xml:space="preserve">MUUD no usa datos personales para entrenar modelos de IA.</w:t>
      </w:r>
    </w:p>
    <w:p>
      <w:pPr>
        <w:pStyle w:val="ListParagraph"/>
        <w:numPr>
          <w:ilvl w:val="0"/>
          <w:numId w:val="4"/>
        </w:numPr>
      </w:pPr>
      <w:r>
        <w:t xml:space="preserve">Los indicadores y alertas son señales para adultos capacitados. Ninguna decisión con efectos jurídicos o efectos similares significativos para una persona se toma únicamente por medios automatizados: una persona del colegio o empleador decide si hace seguimiento y cómo. Usted puede solicitar la revisión humana de cualquier resultado que le concierna y expresar su punto de vista (Sección 12).</w:t>
      </w:r>
    </w:p>
    <w:p>
      <w:pPr>
        <w:pStyle w:val="Heading2"/>
      </w:pPr>
      <w:r>
        <w:t xml:space="preserve">6. Para qué usamos los datos personales y con qué base legal</w:t>
      </w:r>
    </w:p>
    <w:p>
      <w:pPr/>
      <w:r>
        <w:rPr>
          <w:b/>
        </w:rPr>
        <w:t xml:space="preserve">Cuando MUUD actúa por cuenta de un colegio o empleador</w:t>
      </w:r>
      <w:r>
        <w:t xml:space="preserve">, usamos los datos personales sólo para prestar, proteger y dar soporte a los Servicios que la organización contrató, según sus instrucciones y el Anexo de Tratamiento de Datos: crear las cuentas, realizar los check-ins y operar el asistente de check-in, generar indicadores, alertas y reportes para el personal designado, enviar correos de recuperación de contraseña y de aviso de alertas, dar soporte y elaborar estadísticas agregadas y anonimizadas para evaluar y mejorar los Servicios. La organización determina la base legal, que normalmente es el cumplimiento de su misión educativa o de interés público, su interés legítimo, un deber legal de cuidado o el consentimiento, incluido el de los padres cuando la ley lo exige.</w:t>
      </w:r>
    </w:p>
    <w:p>
      <w:pPr/>
      <w:r>
        <w:t xml:space="preserve">Los correos de aviso de alertas no contienen datos de estudiantes: sólo informan a un funcionario designado que su grupo tiene alertas, y el detalle se revisa dentro de la App.</w:t>
      </w:r>
    </w:p>
    <w:p>
      <w:pPr/>
      <w:r>
        <w:rPr>
          <w:b/>
        </w:rPr>
        <w:t xml:space="preserve">Cuando MUUD actúa como responsable</w:t>
      </w:r>
      <w:r>
        <w:t xml:space="preserve">, nos basamos en estas finalidades y bases legales: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Finalidad</w:t>
            </w:r>
          </w:p>
        </w:tc>
        <w:tc>
          <w:tcPr>
            <w:tcW w:w="3120" w:type="dxa"/>
            <w:shd w:val="clear" w:color="auto" w:fill="F2F2F2"/>
          </w:tcPr>
          <w:p>
            <w:pPr/>
            <w:r>
              <w:t xml:space="preserve">Datos</w:t>
            </w:r>
          </w:p>
        </w:tc>
        <w:tc>
          <w:tcPr>
            <w:tcW w:w="3120" w:type="dxa"/>
            <w:shd w:val="clear" w:color="auto" w:fill="F2F2F2"/>
          </w:tcPr>
          <w:p>
            <w:pPr/>
            <w:r>
              <w:t xml:space="preserve">Base legal</w:t>
            </w:r>
          </w:p>
        </w:tc>
      </w:tr>
      <w:tr>
        <w:tc>
          <w:tcPr>
            <w:tcW w:w="3120" w:type="dxa"/>
          </w:tcPr>
          <w:p>
            <w:pPr/>
            <w:r>
              <w:t xml:space="preserve">Prestar los Servicios a los Usuarios Individuales</w:t>
            </w:r>
          </w:p>
        </w:tc>
        <w:tc>
          <w:tcPr>
            <w:tcW w:w="3120" w:type="dxa"/>
          </w:tcPr>
          <w:p>
            <w:pPr/>
            <w:r>
              <w:t xml:space="preserve">Cuenta, check-ins, conversaciones con el asistente, texto libre, indicadores</w:t>
            </w:r>
          </w:p>
        </w:tc>
        <w:tc>
          <w:tcPr>
            <w:tcW w:w="3120" w:type="dxa"/>
          </w:tcPr>
          <w:p>
            <w:pPr/>
            <w:r>
              <w:t xml:space="preserve">Ejecución del contrato; consentimiento expreso para los datos sensibles, que puede retirarse en cualquier momento</w:t>
            </w:r>
          </w:p>
        </w:tc>
      </w:tr>
      <w:tr>
        <w:tc>
          <w:tcPr>
            <w:tcW w:w="3120" w:type="dxa"/>
          </w:tcPr>
          <w:p>
            <w:pPr/>
            <w:r>
              <w:t xml:space="preserve">Gestionar la relación con los clientes, los contratos y la facturación</w:t>
            </w:r>
          </w:p>
        </w:tc>
        <w:tc>
          <w:tcPr>
            <w:tcW w:w="3120" w:type="dxa"/>
          </w:tcPr>
          <w:p>
            <w:pPr/>
            <w:r>
              <w:t xml:space="preserve">Contactos de clientes, datos de facturación</w:t>
            </w:r>
          </w:p>
        </w:tc>
        <w:tc>
          <w:tcPr>
            <w:tcW w:w="3120" w:type="dxa"/>
          </w:tcPr>
          <w:p>
            <w:pPr/>
            <w:r>
              <w:t xml:space="preserve">Ejecución de un contrato; interés legítimo; obligaciones legales (tributarias y contables)</w:t>
            </w:r>
          </w:p>
        </w:tc>
      </w:tr>
      <w:tr>
        <w:tc>
          <w:tcPr>
            <w:tcW w:w="3120" w:type="dxa"/>
          </w:tcPr>
          <w:p>
            <w:pPr/>
            <w:r>
              <w:t xml:space="preserve">Prospección comercial B2B a colegios y organizaciones</w:t>
            </w:r>
          </w:p>
        </w:tc>
        <w:tc>
          <w:tcPr>
            <w:tcW w:w="3120" w:type="dxa"/>
          </w:tcPr>
          <w:p>
            <w:pPr/>
            <w:r>
              <w:t xml:space="preserve">Datos de contacto de prospectos</w:t>
            </w:r>
          </w:p>
        </w:tc>
        <w:tc>
          <w:tcPr>
            <w:tcW w:w="3120" w:type="dxa"/>
          </w:tcPr>
          <w:p>
            <w:pPr/>
            <w:r>
              <w:t xml:space="preserve">Interés legítimo (ofrecer servicios pertinentes a organizaciones), con derecho a oponerse en cualquier momento; consentimiento cuando la ley lo exige para el marketing electrónico</w:t>
            </w:r>
          </w:p>
        </w:tc>
      </w:tr>
      <w:tr>
        <w:tc>
          <w:tcPr>
            <w:tcW w:w="3120" w:type="dxa"/>
          </w:tcPr>
          <w:p>
            <w:pPr/>
            <w:r>
              <w:t xml:space="preserve">Enviar a los docentes el boletín educativo de MUUD, cuando el contrato del colegio lo autoriza</w:t>
            </w:r>
          </w:p>
        </w:tc>
        <w:tc>
          <w:tcPr>
            <w:tcW w:w="3120" w:type="dxa"/>
          </w:tcPr>
          <w:p>
            <w:pPr/>
            <w:r>
              <w:t xml:space="preserve">Nombre y correo laboral del docente</w:t>
            </w:r>
          </w:p>
        </w:tc>
        <w:tc>
          <w:tcPr>
            <w:tcW w:w="3120" w:type="dxa"/>
          </w:tcPr>
          <w:p>
            <w:pPr/>
            <w:r>
              <w:t xml:space="preserve">Interés legítimo y la autorización pactada con el colegio; consentimiento cuando la ley lo exige. Cada correo incluye un enlace para darse de baja</w:t>
            </w:r>
          </w:p>
        </w:tc>
      </w:tr>
      <w:tr>
        <w:tc>
          <w:tcPr>
            <w:tcW w:w="3120" w:type="dxa"/>
          </w:tcPr>
          <w:p>
            <w:pPr/>
            <w:r>
              <w:t xml:space="preserve">Soporte y atención de solicitudes de datos</w:t>
            </w:r>
          </w:p>
        </w:tc>
        <w:tc>
          <w:tcPr>
            <w:tcW w:w="3120" w:type="dxa"/>
          </w:tcPr>
          <w:p>
            <w:pPr/>
            <w:r>
              <w:t xml:space="preserve">Datos de contacto, contenido de la solicitud, datos de verificación</w:t>
            </w:r>
          </w:p>
        </w:tc>
        <w:tc>
          <w:tcPr>
            <w:tcW w:w="3120" w:type="dxa"/>
          </w:tcPr>
          <w:p>
            <w:pPr/>
            <w:r>
              <w:t xml:space="preserve">Obligaciones legales; ejecución de un contrato</w:t>
            </w:r>
          </w:p>
        </w:tc>
      </w:tr>
      <w:tr>
        <w:tc>
          <w:tcPr>
            <w:tcW w:w="3120" w:type="dxa"/>
          </w:tcPr>
          <w:p>
            <w:pPr/>
            <w:r>
              <w:t xml:space="preserve">Seguridad, prevención de fraude e integridad del servicio</w:t>
            </w:r>
          </w:p>
        </w:tc>
        <w:tc>
          <w:tcPr>
            <w:tcW w:w="3120" w:type="dxa"/>
          </w:tcPr>
          <w:p>
            <w:pPr/>
            <w:r>
              <w:t xml:space="preserve">Datos técnicos, registros</w:t>
            </w:r>
          </w:p>
        </w:tc>
        <w:tc>
          <w:tcPr>
            <w:tcW w:w="3120" w:type="dxa"/>
          </w:tcPr>
          <w:p>
            <w:pPr/>
            <w:r>
              <w:t xml:space="preserve">Interés legítimo; obligaciones legales</w:t>
            </w:r>
          </w:p>
        </w:tc>
      </w:tr>
      <w:tr>
        <w:tc>
          <w:tcPr>
            <w:tcW w:w="3120" w:type="dxa"/>
          </w:tcPr>
          <w:p>
            <w:pPr/>
            <w:r>
              <w:t xml:space="preserve">Funcionamiento del sitio web y, con consentimiento, analítica</w:t>
            </w:r>
          </w:p>
        </w:tc>
        <w:tc>
          <w:tcPr>
            <w:tcW w:w="3120" w:type="dxa"/>
          </w:tcPr>
          <w:p>
            <w:pPr/>
            <w:r>
              <w:t xml:space="preserve">Datos del sitio web y de cookies</w:t>
            </w:r>
          </w:p>
        </w:tc>
        <w:tc>
          <w:tcPr>
            <w:tcW w:w="3120" w:type="dxa"/>
          </w:tcPr>
          <w:p>
            <w:pPr/>
            <w:r>
              <w:t xml:space="preserve">Interés legítimo para las cookies estrictamente necesarias; consentimiento para todas las demás</w:t>
            </w:r>
          </w:p>
        </w:tc>
      </w:tr>
      <w:tr>
        <w:tc>
          <w:tcPr>
            <w:tcW w:w="3120" w:type="dxa"/>
          </w:tcPr>
          <w:p>
            <w:pPr/>
            <w:r>
              <w:t xml:space="preserve">Cumplir la ley y establecer o defender reclamaciones legales</w:t>
            </w:r>
          </w:p>
        </w:tc>
        <w:tc>
          <w:tcPr>
            <w:tcW w:w="3120" w:type="dxa"/>
          </w:tcPr>
          <w:p>
            <w:pPr/>
            <w:r>
              <w:t xml:space="preserve">Datos pertinentes al asunto</w:t>
            </w:r>
          </w:p>
        </w:tc>
        <w:tc>
          <w:tcPr>
            <w:tcW w:w="3120" w:type="dxa"/>
          </w:tcPr>
          <w:p>
            <w:pPr/>
            <w:r>
              <w:t xml:space="preserve">Obligaciones legales; interés legítimo</w:t>
            </w:r>
          </w:p>
        </w:tc>
      </w:tr>
      <w:tr>
        <w:tc>
          <w:tcPr>
            <w:tcW w:w="3120" w:type="dxa"/>
          </w:tcPr>
          <w:p>
            <w:pPr/>
            <w:r>
              <w:t xml:space="preserve">Proteger la vida o la integridad física de una persona en una emergencia</w:t>
            </w:r>
          </w:p>
        </w:tc>
        <w:tc>
          <w:tcPr>
            <w:tcW w:w="3120" w:type="dxa"/>
          </w:tcPr>
          <w:p>
            <w:pPr/>
            <w:r>
              <w:t xml:space="preserve">Datos estrictamente necesarios</w:t>
            </w:r>
          </w:p>
        </w:tc>
        <w:tc>
          <w:tcPr>
            <w:tcW w:w="3120" w:type="dxa"/>
          </w:tcPr>
          <w:p>
            <w:pPr/>
            <w:r>
              <w:t xml:space="preserve">Interés vital, o el deber legal de denunciar, cuando la ley aplicable lo permita o lo exija</w:t>
            </w:r>
          </w:p>
        </w:tc>
      </w:tr>
    </w:tbl>
    <w:p>
      <w:pPr/>
      <w:r>
        <w:t xml:space="preserve">No usamos datos personales para publicidad, no los vendemos ni los combinamos con datos de terceros para crear perfiles. Si alguna vez quisiéramos usar datos personales para una nueva finalidad incompatible con las anteriores, se lo informaremos y, cuando corresponda, le pediremos su consentimiento previo.</w:t>
      </w:r>
    </w:p>
    <w:p>
      <w:pPr/>
      <w:r>
        <w:rPr>
          <w:b/>
        </w:rPr>
        <w:t xml:space="preserve">México: finalidades primarias y secundarias.</w:t>
      </w:r>
      <w:r>
        <w:t xml:space="preserve"> Para los titulares en México, las finalidades de la tabla son finalidades primarias necesarias para la relación con MUUD, salvo la prospección comercial B2B y el boletín para docentes, que son finalidades secundarias. Puede negarse a las finalidades secundarias en cualquier momento escribiendo a soporte@muud.app o usando el enlace para darse de baja, sin que ello afecte las finalidades primarias.</w:t>
      </w:r>
    </w:p>
    <w:p>
      <w:pPr>
        <w:pStyle w:val="Heading2"/>
      </w:pPr>
      <w:r>
        <w:t xml:space="preserve">7. Niños, niñas y adolescentes</w:t>
      </w:r>
    </w:p>
    <w:p>
      <w:pPr/>
      <w:r>
        <w:t xml:space="preserve">MUUD es usado por estudiantes, incluidos niños y niñas, sólo a través de colegios que han contratado los Servicios. Los niños sólo pueden tener una cuenta a través de su colegio, ya sea creada por el colegio mediante carga masiva o mediante el registro con un código de curso que entrega el colegio, y no recopilamos a sabiendas datos personales de un niño fuera de una implementación escolar.</w:t>
      </w:r>
    </w:p>
    <w:p>
      <w:pPr>
        <w:pStyle w:val="ListParagraph"/>
        <w:numPr>
          <w:ilvl w:val="0"/>
          <w:numId w:val="5"/>
        </w:numPr>
      </w:pPr>
      <w:r>
        <w:rPr>
          <w:b/>
        </w:rPr>
        <w:t xml:space="preserve">Avisos y consentimiento.</w:t>
      </w:r>
      <w:r>
        <w:t xml:space="preserve"> El colegio, como responsable, entrega a los padres y apoderados los avisos que exige la ley y obtiene los consentimientos o autorizaciones requeridos. Cuando un estudiante se registra con un código de curso, la App le pide su consentimiento expreso para el tratamiento de datos sensibles; esto no reemplaza el consentimiento de los padres cuando la ley lo exige según la edad del estudiante. Cuando el colegio crea las cuentas mediante carga masiva, verifica los consentimientos requeridos antes de enviar la nómina. MUUD entrega al colegio la información y los modelos de aviso que necesita. Los principales umbrales de edad son: menores de 13 años en Estados Unidos (COPPA) y el Reino Unido; menores de 14 años en España y en Chile, donde la Ley N° 21.719 exige además el consentimiento de los padres para los datos sensibles de adolescentes menores de 16 años; menores de 16 años en los Estados miembros de la UE que mantienen la edad por defecto del RGPD, o la edad inferior que fijen; menores de 12 años en Brasil, con protecciones específicas hasta los 18; y menores de 18 años en México.</w:t>
      </w:r>
    </w:p>
    <w:p>
      <w:pPr>
        <w:pStyle w:val="ListParagraph"/>
        <w:numPr>
          <w:ilvl w:val="0"/>
          <w:numId w:val="5"/>
        </w:numPr>
      </w:pPr>
      <w:r>
        <w:rPr>
          <w:b/>
        </w:rPr>
        <w:t xml:space="preserve">Estados Unidos (COPPA).</w:t>
      </w:r>
      <w:r>
        <w:t xml:space="preserve"> Respecto de los estudiantes menores de 13 años, MUUD se basa en la autorización del colegio, otorgada para el uso y beneficio educativo del colegio y sin ningún otro fin comercial. Los padres pueden revisar la información de sus hijos, solicitar su eliminación y negarse a que se siga recopilando contactando al colegio o escribiendo a soporte@muud.app; atendemos esas solicitudes junto con el colegio. MUUD conserva los datos personales de los niños sólo mientras sea razonablemente necesario para la finalidad con que se recopilaron, según el calendario de conservación de la Sección 10, y luego los elimina.</w:t>
      </w:r>
    </w:p>
    <w:p>
      <w:pPr>
        <w:pStyle w:val="ListParagraph"/>
        <w:numPr>
          <w:ilvl w:val="0"/>
          <w:numId w:val="5"/>
        </w:numPr>
      </w:pPr>
      <w:r>
        <w:rPr>
          <w:b/>
        </w:rPr>
        <w:t xml:space="preserve">Interés superior del niño.</w:t>
      </w:r>
      <w:r>
        <w:t xml:space="preserve"> Los datos de los niños se tratan en su interés superior, con privacidad por defecto: sin publicidad, sin perfilamiento comercial, sin perfiles públicos, sin funcionalidades sociales entre estudiantes y sin revelar el contenido del texto libre a los adultos del colegio.</w:t>
      </w:r>
    </w:p>
    <w:p>
      <w:pPr>
        <w:pStyle w:val="ListParagraph"/>
        <w:numPr>
          <w:ilvl w:val="0"/>
          <w:numId w:val="5"/>
        </w:numPr>
      </w:pPr>
      <w:r>
        <w:rPr>
          <w:b/>
        </w:rPr>
        <w:t xml:space="preserve">Si algo salió mal.</w:t>
      </w:r>
      <w:r>
        <w:t xml:space="preserve"> Si tomamos conocimiento de que se recopilaron datos de un niño sin el aviso, consentimiento o autorización requeridos, suspendemos el tratamiento, avisamos al colegio y eliminamos los datos, salvo que la situación se regularice o exista una obligación legal de conservarlos.</w:t>
      </w:r>
    </w:p>
    <w:p>
      <w:pPr>
        <w:pStyle w:val="Heading2"/>
      </w:pPr>
      <w:r>
        <w:t xml:space="preserve">8. Quién recibe los datos personales</w:t>
      </w:r>
    </w:p>
    <w:p>
      <w:pPr/>
      <w:r>
        <w:t xml:space="preserve">No vendemos ni arrendamos datos personales, y no los compartimos con fines publicitarios. Sólo los compartimos con:</w:t>
      </w:r>
    </w:p>
    <w:p>
      <w:pPr>
        <w:pStyle w:val="ListParagraph"/>
        <w:numPr>
          <w:ilvl w:val="0"/>
          <w:numId w:val="6"/>
        </w:numPr>
      </w:pPr>
      <w:r>
        <w:rPr>
          <w:b/>
        </w:rPr>
        <w:t xml:space="preserve">Su colegio o empleador</w:t>
      </w:r>
      <w:r>
        <w:t xml:space="preserve">, en la medida descrita en la Sección 4.</w:t>
      </w:r>
    </w:p>
    <w:p>
      <w:pPr>
        <w:pStyle w:val="ListParagraph"/>
        <w:numPr>
          <w:ilvl w:val="0"/>
          <w:numId w:val="6"/>
        </w:numPr>
      </w:pPr>
      <w:r>
        <w:rPr>
          <w:b/>
        </w:rPr>
        <w:t xml:space="preserve">Nuestros subencargados y proveedores de servicios</w:t>
      </w:r>
      <w:r>
        <w:t xml:space="preserve">, indicados más abajo, en virtud de contratos escritos que les exigen tratar los datos sólo según nuestras instrucciones, mantenerlos confidenciales y protegerlos.</w:t>
      </w:r>
    </w:p>
    <w:p>
      <w:pPr>
        <w:pStyle w:val="ListParagraph"/>
        <w:numPr>
          <w:ilvl w:val="0"/>
          <w:numId w:val="6"/>
        </w:numPr>
      </w:pPr>
      <w:r>
        <w:rPr>
          <w:b/>
        </w:rPr>
        <w:t xml:space="preserve">Autoridades</w:t>
      </w:r>
      <w:r>
        <w:t xml:space="preserve">, cuando lo exija una ley, una orden judicial o un requerimiento vinculante de una autoridad competente, o para proteger la vida o la integridad física de una persona. Informamos al colegio o empleador salvo que la ley lo prohíba.</w:t>
      </w:r>
    </w:p>
    <w:p>
      <w:pPr>
        <w:pStyle w:val="ListParagraph"/>
        <w:numPr>
          <w:ilvl w:val="0"/>
          <w:numId w:val="6"/>
        </w:numPr>
      </w:pPr>
      <w:r>
        <w:rPr>
          <w:b/>
        </w:rPr>
        <w:t xml:space="preserve">Asesores profesionales y auditores</w:t>
      </w:r>
      <w:r>
        <w:t xml:space="preserve">, como abogados y auditores de cumplimiento, sujetos a deberes de confidencialidad.</w:t>
      </w:r>
    </w:p>
    <w:p>
      <w:pPr>
        <w:pStyle w:val="ListParagraph"/>
        <w:numPr>
          <w:ilvl w:val="0"/>
          <w:numId w:val="6"/>
        </w:numPr>
      </w:pPr>
      <w:r>
        <w:rPr>
          <w:b/>
        </w:rPr>
        <w:t xml:space="preserve">Un comprador o sucesor</w:t>
      </w:r>
      <w:r>
        <w:t xml:space="preserve">, en una fusión, adquisición o venta de activos, que deberá seguir aplicando esta Política y los compromisos asumidos con los colegios; los colegios serán avisados con anticipación y podrán exigir la eliminación de sus datos.</w:t>
      </w:r>
    </w:p>
    <w:p>
      <w:pPr/>
      <w:r>
        <w:t xml:space="preserve">Los Distribuidores Autorizados que revenden MUUD en algunos países reciben los datos de contacto y de facturación de la organización cliente. Sólo acceden a datos de usuarios en los Servicios si el cliente lo autoriza por escrito y, en ese caso, actúan como subencargados de MUUD en virtud de un acuerdo escrito de tratamiento de datos.</w:t>
      </w:r>
    </w:p>
    <w:p>
      <w:pPr/>
      <w:r>
        <w:rPr>
          <w:b/>
        </w:rPr>
        <w:t xml:space="preserve">Subencargados (datos tratados para colegios y empleadores)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Proveedor</w:t>
            </w:r>
          </w:p>
        </w:tc>
        <w:tc>
          <w:tcPr>
            <w:tcW w:w="3120" w:type="dxa"/>
            <w:shd w:val="clear" w:color="auto" w:fill="F2F2F2"/>
          </w:tcPr>
          <w:p>
            <w:pPr/>
            <w:r>
              <w:t xml:space="preserve">Ubicación</w:t>
            </w:r>
          </w:p>
        </w:tc>
        <w:tc>
          <w:tcPr>
            <w:tcW w:w="3120" w:type="dxa"/>
            <w:shd w:val="clear" w:color="auto" w:fill="F2F2F2"/>
          </w:tcPr>
          <w:p>
            <w:pPr/>
            <w:r>
              <w:t xml:space="preserve">Qué hacen</w:t>
            </w:r>
          </w:p>
        </w:tc>
      </w:tr>
      <w:tr>
        <w:tc>
          <w:tcPr>
            <w:tcW w:w="3120" w:type="dxa"/>
          </w:tcPr>
          <w:p>
            <w:pPr/>
            <w:r>
              <w:t xml:space="preserve">Salesforce, Inc. (Heroku)</w:t>
            </w:r>
          </w:p>
        </w:tc>
        <w:tc>
          <w:tcPr>
            <w:tcW w:w="3120" w:type="dxa"/>
          </w:tcPr>
          <w:p>
            <w:pPr/>
            <w:r>
              <w:t xml:space="preserve">Estados Unidos</w:t>
            </w:r>
          </w:p>
        </w:tc>
        <w:tc>
          <w:tcPr>
            <w:tcW w:w="3120" w:type="dxa"/>
          </w:tcPr>
          <w:p>
            <w:pPr/>
            <w:r>
              <w:t xml:space="preserve">Alojamiento del backend de la aplicación y de la base de datos, caché y colas de los Servicios para lugares de trabajo. Heroku funciona sobre infraestructura de Amazon Web Services</w:t>
            </w:r>
          </w:p>
        </w:tc>
      </w:tr>
      <w:tr>
        <w:tc>
          <w:tcPr>
            <w:tcW w:w="3120" w:type="dxa"/>
          </w:tcPr>
          <w:p>
            <w:pPr/>
            <w:r>
              <w:t xml:space="preserve">Retool, Inc.</w:t>
            </w:r>
          </w:p>
        </w:tc>
        <w:tc>
          <w:tcPr>
            <w:tcW w:w="3120" w:type="dxa"/>
          </w:tcPr>
          <w:p>
            <w:pPr/>
            <w:r>
              <w:t xml:space="preserve">Estados Unidos</w:t>
            </w:r>
          </w:p>
        </w:tc>
        <w:tc>
          <w:tcPr>
            <w:tcW w:w="3120" w:type="dxa"/>
          </w:tcPr>
          <w:p>
            <w:pPr/>
            <w:r>
              <w:t xml:space="preserve">Alojamiento de la base de datos de los Servicios para colegios (RetoolDB, sobre infraestructura de Neon) y sus respaldos, y el panel interno de administración usado por el personal autorizado de MUUD</w:t>
            </w:r>
          </w:p>
        </w:tc>
      </w:tr>
      <w:tr>
        <w:tc>
          <w:tcPr>
            <w:tcW w:w="3120" w:type="dxa"/>
          </w:tcPr>
          <w:p>
            <w:pPr/>
            <w:r>
              <w:t xml:space="preserve">Anthropic, PBC</w:t>
            </w:r>
          </w:p>
        </w:tc>
        <w:tc>
          <w:tcPr>
            <w:tcW w:w="3120" w:type="dxa"/>
          </w:tcPr>
          <w:p>
            <w:pPr/>
            <w:r>
              <w:t xml:space="preserve">Estados Unidos</w:t>
            </w:r>
          </w:p>
        </w:tc>
        <w:tc>
          <w:tcPr>
            <w:tcW w:w="3120" w:type="dxa"/>
          </w:tcPr>
          <w:p>
            <w:pPr/>
            <w:r>
              <w:t xml:space="preserve">Proveedor de IA del asistente conversacional de check-in, los resúmenes y los indicadores</w:t>
            </w:r>
          </w:p>
        </w:tc>
      </w:tr>
      <w:tr>
        <w:tc>
          <w:tcPr>
            <w:tcW w:w="3120" w:type="dxa"/>
          </w:tcPr>
          <w:p>
            <w:pPr/>
            <w:r>
              <w:t xml:space="preserve">OpenAI, L.L.C.</w:t>
            </w:r>
          </w:p>
        </w:tc>
        <w:tc>
          <w:tcPr>
            <w:tcW w:w="3120" w:type="dxa"/>
          </w:tcPr>
          <w:p>
            <w:pPr/>
            <w:r>
              <w:t xml:space="preserve">Estados Unidos</w:t>
            </w:r>
          </w:p>
        </w:tc>
        <w:tc>
          <w:tcPr>
            <w:tcW w:w="3120" w:type="dxa"/>
          </w:tcPr>
          <w:p>
            <w:pPr/>
            <w:r>
              <w:t xml:space="preserve">Proveedor de IA de respaldo para los Servicios de colegios y lugares de trabajo, usado sólo si Anthropic no está disponible</w:t>
            </w:r>
          </w:p>
        </w:tc>
      </w:tr>
      <w:tr>
        <w:tc>
          <w:tcPr>
            <w:tcW w:w="3120" w:type="dxa"/>
          </w:tcPr>
          <w:p>
            <w:pPr/>
            <w:r>
              <w:t xml:space="preserve">Twilio Inc. (SendGrid)</w:t>
            </w:r>
          </w:p>
        </w:tc>
        <w:tc>
          <w:tcPr>
            <w:tcW w:w="3120" w:type="dxa"/>
          </w:tcPr>
          <w:p>
            <w:pPr/>
            <w:r>
              <w:t xml:space="preserve">Estados Unidos</w:t>
            </w:r>
          </w:p>
        </w:tc>
        <w:tc>
          <w:tcPr>
            <w:tcW w:w="3120" w:type="dxa"/>
          </w:tcPr>
          <w:p>
            <w:pPr/>
            <w:r>
              <w:t xml:space="preserve">Correos de recuperación de contraseña y de aviso de alertas al personal. Recibe correos del personal, nunca datos de estudiantes</w:t>
            </w:r>
          </w:p>
        </w:tc>
      </w:tr>
      <w:tr>
        <w:tc>
          <w:tcPr>
            <w:tcW w:w="3120" w:type="dxa"/>
          </w:tcPr>
          <w:p>
            <w:pPr/>
            <w:r>
              <w:t xml:space="preserve">Google LLC (Google Workspace)</w:t>
            </w:r>
          </w:p>
        </w:tc>
        <w:tc>
          <w:tcPr>
            <w:tcW w:w="3120" w:type="dxa"/>
          </w:tcPr>
          <w:p>
            <w:pPr/>
            <w:r>
              <w:t xml:space="preserve">Estados Unidos</w:t>
            </w:r>
          </w:p>
        </w:tc>
        <w:tc>
          <w:tcPr>
            <w:tcW w:w="3120" w:type="dxa"/>
          </w:tcPr>
          <w:p>
            <w:pPr/>
            <w:r>
              <w:t xml:space="preserve">Correo de soporte y almacenamiento restringido de las nóminas de estudiantes que envían los colegios para crear las cuentas</w:t>
            </w:r>
          </w:p>
        </w:tc>
      </w:tr>
    </w:tbl>
    <w:p>
      <w:pPr/>
      <w:r>
        <w:rPr>
          <w:b/>
        </w:rPr>
        <w:t xml:space="preserve">Proveedores de servicios para los fines propios de MUUD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Proveedor</w:t>
            </w:r>
          </w:p>
        </w:tc>
        <w:tc>
          <w:tcPr>
            <w:tcW w:w="3120" w:type="dxa"/>
            <w:shd w:val="clear" w:color="auto" w:fill="F2F2F2"/>
          </w:tcPr>
          <w:p>
            <w:pPr/>
            <w:r>
              <w:t xml:space="preserve">Ubicación</w:t>
            </w:r>
          </w:p>
        </w:tc>
        <w:tc>
          <w:tcPr>
            <w:tcW w:w="3120" w:type="dxa"/>
            <w:shd w:val="clear" w:color="auto" w:fill="F2F2F2"/>
          </w:tcPr>
          <w:p>
            <w:pPr/>
            <w:r>
              <w:t xml:space="preserve">Qué hacen</w:t>
            </w:r>
          </w:p>
        </w:tc>
      </w:tr>
      <w:tr>
        <w:tc>
          <w:tcPr>
            <w:tcW w:w="3120" w:type="dxa"/>
          </w:tcPr>
          <w:p>
            <w:pPr/>
            <w:r>
              <w:t xml:space="preserve">HubSpot, Inc.</w:t>
            </w:r>
          </w:p>
        </w:tc>
        <w:tc>
          <w:tcPr>
            <w:tcW w:w="3120" w:type="dxa"/>
          </w:tcPr>
          <w:p>
            <w:pPr/>
            <w:r>
              <w:t xml:space="preserve">Estados Unidos</w:t>
            </w:r>
          </w:p>
        </w:tc>
        <w:tc>
          <w:tcPr>
            <w:tcW w:w="3120" w:type="dxa"/>
          </w:tcPr>
          <w:p>
            <w:pPr/>
            <w:r>
              <w:t xml:space="preserve">CRM para contactos comerciales y prospectos</w:t>
            </w:r>
          </w:p>
        </w:tc>
      </w:tr>
      <w:tr>
        <w:tc>
          <w:tcPr>
            <w:tcW w:w="3120" w:type="dxa"/>
          </w:tcPr>
          <w:p>
            <w:pPr/>
            <w:r>
              <w:t xml:space="preserve">Intuit Inc. (Mailchimp)</w:t>
            </w:r>
          </w:p>
        </w:tc>
        <w:tc>
          <w:tcPr>
            <w:tcW w:w="3120" w:type="dxa"/>
          </w:tcPr>
          <w:p>
            <w:pPr/>
            <w:r>
              <w:t xml:space="preserve">Estados Unidos</w:t>
            </w:r>
          </w:p>
        </w:tc>
        <w:tc>
          <w:tcPr>
            <w:tcW w:w="3120" w:type="dxa"/>
          </w:tcPr>
          <w:p>
            <w:pPr/>
            <w:r>
              <w:t xml:space="preserve">Envío del boletín para docentes</w:t>
            </w:r>
          </w:p>
        </w:tc>
      </w:tr>
      <w:tr>
        <w:tc>
          <w:tcPr>
            <w:tcW w:w="3120" w:type="dxa"/>
          </w:tcPr>
          <w:p>
            <w:pPr/>
            <w:r>
              <w:t xml:space="preserve">Google LLC (Google Workspace)</w:t>
            </w:r>
          </w:p>
        </w:tc>
        <w:tc>
          <w:tcPr>
            <w:tcW w:w="3120" w:type="dxa"/>
          </w:tcPr>
          <w:p>
            <w:pPr/>
            <w:r>
              <w:t xml:space="preserve">Estados Unidos</w:t>
            </w:r>
          </w:p>
        </w:tc>
        <w:tc>
          <w:tcPr>
            <w:tcW w:w="3120" w:type="dxa"/>
          </w:tcPr>
          <w:p>
            <w:pPr/>
            <w:r>
              <w:t xml:space="preserve">Correo, documentos y registros de la relación con clientes y de las solicitudes de datos</w:t>
            </w:r>
          </w:p>
        </w:tc>
      </w:tr>
    </w:tbl>
    <w:p>
      <w:pPr/>
      <w:r>
        <w:t xml:space="preserve">Apple y Google reciben datos como responsables independientes cuando usted descarga la App o hace una compra en sus tiendas y, si elige dictar, cuando el reconocimiento de voz del sistema operativo de su dispositivo o de su navegador procesa su audio, en cada caso según sus propias políticas de privacidad. Los clientes institucionales reciben aviso con al menos 30 días de anticipación de cualquier nuevo subencargado y pueden oponerse, según lo establecido en el Anexo de Tratamiento de Datos.</w:t>
      </w:r>
    </w:p>
    <w:p>
      <w:pPr>
        <w:pStyle w:val="Heading2"/>
      </w:pPr>
      <w:r>
        <w:t xml:space="preserve">9. Transferencias internacionales</w:t>
      </w:r>
    </w:p>
    <w:p>
      <w:pPr/>
      <w:r>
        <w:t xml:space="preserve">Todos los datos tratados a través de los Servicios se almacenan en Estados Unidos. MUUD SpA está establecida en Chile, y su personal autorizado accede a los datos de forma remota desde Chile. Para los usuarios de otros países, esto significa que sus datos personales se transfieren a Estados Unidos y Chile. Protegemos estas transferencias así:</w:t>
      </w:r>
    </w:p>
    <w:p>
      <w:pPr>
        <w:pStyle w:val="ListParagraph"/>
        <w:numPr>
          <w:ilvl w:val="0"/>
          <w:numId w:val="7"/>
        </w:numPr>
      </w:pPr>
      <w:r>
        <w:rPr>
          <w:b/>
        </w:rPr>
        <w:t xml:space="preserve">Desde la UE/EEE:</w:t>
      </w:r>
      <w:r>
        <w:t xml:space="preserve"> las Cláusulas Contractuales Tipo de la Comisión Europea (Decisión 2021/914), incluidas en nuestro Anexo de Tratamiento de Datos y en nuestros contratos con subencargados, respaldadas por evaluaciones de impacto de las transferencias; o el Marco de Privacidad de Datos UE-EE.UU. cuando el destinatario esté certificado.</w:t>
      </w:r>
    </w:p>
    <w:p>
      <w:pPr>
        <w:pStyle w:val="ListParagraph"/>
        <w:numPr>
          <w:ilvl w:val="0"/>
          <w:numId w:val="7"/>
        </w:numPr>
      </w:pPr>
      <w:r>
        <w:rPr>
          <w:b/>
        </w:rPr>
        <w:t xml:space="preserve">Desde el Reino Unido:</w:t>
      </w:r>
      <w:r>
        <w:t xml:space="preserve"> el International Data Transfer Addendum del Reino Unido a las Cláusulas Contractuales Tipo.</w:t>
      </w:r>
    </w:p>
    <w:p>
      <w:pPr>
        <w:pStyle w:val="ListParagraph"/>
        <w:numPr>
          <w:ilvl w:val="0"/>
          <w:numId w:val="7"/>
        </w:numPr>
      </w:pPr>
      <w:r>
        <w:rPr>
          <w:b/>
        </w:rPr>
        <w:t xml:space="preserve">Desde Suiza:</w:t>
      </w:r>
      <w:r>
        <w:t xml:space="preserve"> las Cláusulas Contractuales Tipo con las adaptaciones reconocidas por el Comisionado Federal de Protección de Datos e Información. Los datos personales provenientes de Suiza se comunican a Estados Unidos y Chile.</w:t>
      </w:r>
    </w:p>
    <w:p>
      <w:pPr>
        <w:pStyle w:val="ListParagraph"/>
        <w:numPr>
          <w:ilvl w:val="0"/>
          <w:numId w:val="7"/>
        </w:numPr>
      </w:pPr>
      <w:r>
        <w:rPr>
          <w:b/>
        </w:rPr>
        <w:t xml:space="preserve">Desde Brasil:</w:t>
      </w:r>
      <w:r>
        <w:t xml:space="preserve"> las cláusulas contractuales estándar aprobadas por la ANPD (Resolución CD/ANPD N° 19/2024), conforme al art. 33 de la LGPD.</w:t>
      </w:r>
    </w:p>
    <w:p>
      <w:pPr>
        <w:pStyle w:val="ListParagraph"/>
        <w:numPr>
          <w:ilvl w:val="0"/>
          <w:numId w:val="7"/>
        </w:numPr>
      </w:pPr>
      <w:r>
        <w:rPr>
          <w:b/>
        </w:rPr>
        <w:t xml:space="preserve">Desde Chile:</w:t>
      </w:r>
      <w:r>
        <w:t xml:space="preserve"> las garantías que exige la Ley N° 19.628 y, a partir del 1 de diciembre de 2026, las reglas de transferencia de la Ley N° 21.719, incluidas cláusulas contractuales que aseguran un nivel adecuado de protección.</w:t>
      </w:r>
    </w:p>
    <w:p>
      <w:pPr>
        <w:pStyle w:val="ListParagraph"/>
        <w:numPr>
          <w:ilvl w:val="0"/>
          <w:numId w:val="7"/>
        </w:numPr>
      </w:pPr>
      <w:r>
        <w:rPr>
          <w:b/>
        </w:rPr>
        <w:t xml:space="preserve">Desde México:</w:t>
      </w:r>
      <w:r>
        <w:t xml:space="preserve"> las comunicaciones a MUUD y a sus subencargados son remisiones a encargados conforme a la LFPDPPP, realizadas en virtud de contratos que los obligan a esta Política y a las instrucciones del responsable, y no requieren su consentimiento.</w:t>
      </w:r>
    </w:p>
    <w:p>
      <w:pPr/>
      <w:r>
        <w:t xml:space="preserve">Puede solicitar una copia de las garantías correspondientes escribiendo a soporte@muud.app.</w:t>
      </w:r>
    </w:p>
    <w:p>
      <w:pPr>
        <w:pStyle w:val="Heading2"/>
      </w:pPr>
      <w:r>
        <w:t xml:space="preserve">10. Por cuánto tiempo conservamos los datos personales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Datos</w:t>
            </w:r>
          </w:p>
        </w:tc>
        <w:tc>
          <w:tcPr>
            <w:tcW w:w="4680" w:type="dxa"/>
            <w:shd w:val="clear" w:color="auto" w:fill="F2F2F2"/>
          </w:tcPr>
          <w:p>
            <w:pPr/>
            <w:r>
              <w:t xml:space="preserve">Conservación</w:t>
            </w:r>
          </w:p>
        </w:tc>
      </w:tr>
      <w:tr>
        <w:tc>
          <w:tcPr>
            <w:tcW w:w="4680" w:type="dxa"/>
          </w:tcPr>
          <w:p>
            <w:pPr/>
            <w:r>
              <w:t xml:space="preserve">Datos de colegios y empleadores, incluidos los Datos de Estudiantes</w:t>
            </w:r>
          </w:p>
        </w:tc>
        <w:tc>
          <w:tcPr>
            <w:tcW w:w="4680" w:type="dxa"/>
          </w:tcPr>
          <w:p>
            <w:pPr/>
            <w:r>
              <w:t xml:space="preserve">Durante la vigencia de la suscripción. Cuando se da de baja a un usuario o el cliente solicita la eliminación, dentro de 30 días. Al terminar la suscripción, disponibles para exportación durante 60 días y eliminados de los sistemas de producción dentro de 90 días; los respaldos se sobrescriben en su ciclo ordinario de rotación y permanecen aislados de todo uso activo hasta entonces</w:t>
            </w:r>
          </w:p>
        </w:tc>
      </w:tr>
      <w:tr>
        <w:tc>
          <w:tcPr>
            <w:tcW w:w="4680" w:type="dxa"/>
          </w:tcPr>
          <w:p>
            <w:pPr/>
            <w:r>
              <w:t xml:space="preserve">Nóminas de estudiantes enviadas por los colegios</w:t>
            </w:r>
          </w:p>
        </w:tc>
        <w:tc>
          <w:tcPr>
            <w:tcW w:w="4680" w:type="dxa"/>
          </w:tcPr>
          <w:p>
            <w:pPr/>
            <w:r>
              <w:t xml:space="preserve">Se conservan en almacenamiento restringido durante la vigencia de la suscripción y se eliminan junto con el resto de los datos del cliente al terminar</w:t>
            </w:r>
          </w:p>
        </w:tc>
      </w:tr>
      <w:tr>
        <w:tc>
          <w:tcPr>
            <w:tcW w:w="4680" w:type="dxa"/>
          </w:tcPr>
          <w:p>
            <w:pPr/>
            <w:r>
              <w:t xml:space="preserve">Cuentas de Usuarios Individuales</w:t>
            </w:r>
          </w:p>
        </w:tc>
        <w:tc>
          <w:tcPr>
            <w:tcW w:w="4680" w:type="dxa"/>
          </w:tcPr>
          <w:p>
            <w:pPr/>
            <w:r>
              <w:t xml:space="preserve">Mientras la cuenta esté activa. Se eliminan a solicitud, o tras 24 meses de inactividad previo aviso de 30 días</w:t>
            </w:r>
          </w:p>
        </w:tc>
      </w:tr>
      <w:tr>
        <w:tc>
          <w:tcPr>
            <w:tcW w:w="4680" w:type="dxa"/>
          </w:tcPr>
          <w:p>
            <w:pPr/>
            <w:r>
              <w:t xml:space="preserve">Contratos, facturas y registros contables de clientes</w:t>
            </w:r>
          </w:p>
        </w:tc>
        <w:tc>
          <w:tcPr>
            <w:tcW w:w="4680" w:type="dxa"/>
          </w:tcPr>
          <w:p>
            <w:pPr/>
            <w:r>
              <w:t xml:space="preserve">Durante la relación y 6 años después de su término, según exige la legislación tributaria chilena</w:t>
            </w:r>
          </w:p>
        </w:tc>
      </w:tr>
      <w:tr>
        <w:tc>
          <w:tcPr>
            <w:tcW w:w="4680" w:type="dxa"/>
          </w:tcPr>
          <w:p>
            <w:pPr/>
            <w:r>
              <w:t xml:space="preserve">Datos de prospectos</w:t>
            </w:r>
          </w:p>
        </w:tc>
        <w:tc>
          <w:tcPr>
            <w:tcW w:w="4680" w:type="dxa"/>
          </w:tcPr>
          <w:p>
            <w:pPr/>
            <w:r>
              <w:t xml:space="preserve">Hasta que la persona se oponga, o 24 meses después de la última interacción</w:t>
            </w:r>
          </w:p>
        </w:tc>
      </w:tr>
      <w:tr>
        <w:tc>
          <w:tcPr>
            <w:tcW w:w="4680" w:type="dxa"/>
          </w:tcPr>
          <w:p>
            <w:pPr/>
            <w:r>
              <w:t xml:space="preserve">Suscripciones al boletín</w:t>
            </w:r>
          </w:p>
        </w:tc>
        <w:tc>
          <w:tcPr>
            <w:tcW w:w="4680" w:type="dxa"/>
          </w:tcPr>
          <w:p>
            <w:pPr/>
            <w:r>
              <w:t xml:space="preserve">Hasta que la persona se dé de baja</w:t>
            </w:r>
          </w:p>
        </w:tc>
      </w:tr>
      <w:tr>
        <w:tc>
          <w:tcPr>
            <w:tcW w:w="4680" w:type="dxa"/>
          </w:tcPr>
          <w:p>
            <w:pPr/>
            <w:r>
              <w:t xml:space="preserve">Tickets de soporte y registros de solicitudes de datos</w:t>
            </w:r>
          </w:p>
        </w:tc>
        <w:tc>
          <w:tcPr>
            <w:tcW w:w="4680" w:type="dxa"/>
          </w:tcPr>
          <w:p>
            <w:pPr/>
            <w:r>
              <w:t xml:space="preserve">3 años después del cierre de la solicitud, para demostrar cumplimiento</w:t>
            </w:r>
          </w:p>
        </w:tc>
      </w:tr>
      <w:tr>
        <w:tc>
          <w:tcPr>
            <w:tcW w:w="4680" w:type="dxa"/>
          </w:tcPr>
          <w:p>
            <w:pPr/>
            <w:r>
              <w:t xml:space="preserve">Registros de seguridad</w:t>
            </w:r>
          </w:p>
        </w:tc>
        <w:tc>
          <w:tcPr>
            <w:tcW w:w="4680" w:type="dxa"/>
          </w:tcPr>
          <w:p>
            <w:pPr/>
            <w:r>
              <w:t xml:space="preserve">12 meses</w:t>
            </w:r>
          </w:p>
        </w:tc>
      </w:tr>
      <w:tr>
        <w:tc>
          <w:tcPr>
            <w:tcW w:w="4680" w:type="dxa"/>
          </w:tcPr>
          <w:p>
            <w:pPr/>
            <w:r>
              <w:t xml:space="preserve">Cookies de analítica del sitio web</w:t>
            </w:r>
          </w:p>
        </w:tc>
        <w:tc>
          <w:tcPr>
            <w:tcW w:w="4680" w:type="dxa"/>
          </w:tcPr>
          <w:p>
            <w:pPr/>
            <w:r>
              <w:t xml:space="preserve">Hasta 13 meses, y sólo con consentimiento</w:t>
            </w:r>
          </w:p>
        </w:tc>
      </w:tr>
      <w:tr>
        <w:tc>
          <w:tcPr>
            <w:tcW w:w="4680" w:type="dxa"/>
          </w:tcPr>
          <w:p>
            <w:pPr/>
            <w:r>
              <w:t xml:space="preserve">Datos tratados por los proveedores de IA</w:t>
            </w:r>
          </w:p>
        </w:tc>
        <w:tc>
          <w:tcPr>
            <w:tcW w:w="4680" w:type="dxa"/>
          </w:tcPr>
          <w:p>
            <w:pPr/>
            <w:r>
              <w:t xml:space="preserve">Sólo durante el plazo limitado que fijan sus condiciones para seguridad y control de abusos, y nunca usados para entrenamiento</w:t>
            </w:r>
          </w:p>
        </w:tc>
      </w:tr>
    </w:tbl>
    <w:p>
      <w:pPr/>
      <w:r>
        <w:t xml:space="preserve">Sólo podemos conservar datos por más tiempo cuando la ley lo exija o para establecer o defender una reclamación legal, y sólo mientras esa necesidad subsista. Al terminar el plazo de conservación, eliminamos los datos o los anonimizamos de forma irreversible.</w:t>
      </w:r>
    </w:p>
    <w:p>
      <w:pPr>
        <w:pStyle w:val="Heading2"/>
      </w:pPr>
      <w:r>
        <w:t xml:space="preserve">11. Cómo protegemos los datos personales</w:t>
      </w:r>
    </w:p>
    <w:p>
      <w:pPr/>
      <w:r>
        <w:t xml:space="preserve">Aplicamos medidas técnicas y organizativas adecuadas a la sensibilidad de los datos, entre ellas: cifrado en tránsito y en reposo; acceso a los datos de producción restringido a un número muy reducido de personal autorizado, según la necesidad de conocer, con cuentas individuales; separación entre la base de datos de colegios y la de lugares de trabajo; registro y revisión de los accesos; evaluación previa y acuerdos de tratamiento de datos con cada subencargado; obligaciones de confidencialidad y capacitación en privacidad para todo el personal; un procedimiento escrito de respuesta a incidentes, que incluye el aviso a los clientes afectados dentro de las 72 horas siguientes a tomar conocimiento de una violación de seguridad de datos personales; eliminación segura de datos y dispositivos; y un programa de cumplimiento alineado con los marcos de seguridad del RGPD, SOC 2 y HIPAA. Ningún sistema es completamente seguro, pero trabajamos para prevenir, detectar y responder a los incidentes, y le avisaremos a usted y a las autoridades competentes cuando la ley lo exija.</w:t>
      </w:r>
    </w:p>
    <w:p>
      <w:pPr>
        <w:pStyle w:val="Heading2"/>
      </w:pPr>
      <w:r>
        <w:t xml:space="preserve">12. Sus derechos y cómo ejercerlos</w:t>
      </w:r>
    </w:p>
    <w:p>
      <w:pPr/>
      <w:r>
        <w:t xml:space="preserve">Según dónde viva, usted tiene algunos o todos estos derechos: saber si tratamos sus datos y acceder a ellos; rectificarlos; eliminarlos; oponerse a su tratamiento o limitarlo; recibirlos en un formato portable; retirar su consentimiento en cualquier momento, sin afectar el tratamiento anterior; no ser objeto de decisiones basadas únicamente en un tratamiento automatizado y obtener revisión humana; negarse a las finalidades secundarias (México); y presentar un reclamo ante una autoridad de control. Ejercer sus derechos es gratuito, y no le daremos un trato distinto por hacerlo.</w:t>
      </w:r>
    </w:p>
    <w:p>
      <w:pPr/>
      <w:r>
        <w:rPr>
          <w:b/>
        </w:rPr>
        <w:t xml:space="preserve">Cómo hacer una solicitud.</w:t>
      </w:r>
      <w:r>
        <w:t xml:space="preserve"> Escriba a soporte@muud.app, use el formulario de solicitudes enlazado como "Delete account" en el pie de página de https://muud.app o, desde la UE/EEE, el Reino Unido o Suiza, contacte a nuestro representante DataRep (Sección 12.1). Los padres y apoderados pueden hacer solicitudes por sus hijos, y usted puede actuar a través de un representante autorizado que acredite su autorización.</w:t>
      </w:r>
    </w:p>
    <w:p>
      <w:pPr/>
      <w:r>
        <w:rPr>
          <w:b/>
        </w:rPr>
        <w:t xml:space="preserve">Verificación.</w:t>
      </w:r>
      <w:r>
        <w:t xml:space="preserve"> Para proteger sus datos, verificamos su identidad, o su facultad para actuar por otra persona, usando en lo posible la información ya asociada a la cuenta. Usamos la información entregada sólo para ese fin.</w:t>
      </w:r>
    </w:p>
    <w:p>
      <w:pPr/>
      <w:r>
        <w:rPr>
          <w:b/>
        </w:rPr>
        <w:t xml:space="preserve">Si usa MUUD a través de un colegio o empleador</w:t>
      </w:r>
      <w:r>
        <w:t xml:space="preserve">, esa organización es la responsable de sus datos. Le enviaremos su solicitud sin dilación indebida y la ayudaremos a responder, o responderemos directamente cuando la organización así nos lo indique.</w:t>
      </w:r>
    </w:p>
    <w:p>
      <w:pPr/>
      <w:r>
        <w:rPr>
          <w:b/>
        </w:rPr>
        <w:t xml:space="preserve">Plazos de respuesta.</w:t>
      </w:r>
      <w:r>
        <w:t xml:space="preserve"> Respondemos dentro del plazo que exige la ley aplicable a usted: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Dónde vive</w:t>
            </w:r>
          </w:p>
        </w:tc>
        <w:tc>
          <w:tcPr>
            <w:tcW w:w="3120" w:type="dxa"/>
            <w:shd w:val="clear" w:color="auto" w:fill="F2F2F2"/>
          </w:tcPr>
          <w:p>
            <w:pPr/>
            <w:r>
              <w:t xml:space="preserve">Plazo de respuesta</w:t>
            </w:r>
          </w:p>
        </w:tc>
        <w:tc>
          <w:tcPr>
            <w:tcW w:w="3120" w:type="dxa"/>
            <w:shd w:val="clear" w:color="auto" w:fill="F2F2F2"/>
          </w:tcPr>
          <w:p>
            <w:pPr/>
            <w:r>
              <w:t xml:space="preserve">Autoridad de control</w:t>
            </w:r>
          </w:p>
        </w:tc>
      </w:tr>
      <w:tr>
        <w:tc>
          <w:tcPr>
            <w:tcW w:w="3120" w:type="dxa"/>
          </w:tcPr>
          <w:p>
            <w:pPr/>
            <w:r>
              <w:t xml:space="preserve">UE/EEE</w:t>
            </w:r>
          </w:p>
        </w:tc>
        <w:tc>
          <w:tcPr>
            <w:tcW w:w="3120" w:type="dxa"/>
          </w:tcPr>
          <w:p>
            <w:pPr/>
            <w:r>
              <w:t xml:space="preserve">1 mes, prorrogable por 2 meses en solicitudes complejas</w:t>
            </w:r>
          </w:p>
        </w:tc>
        <w:tc>
          <w:tcPr>
            <w:tcW w:w="3120" w:type="dxa"/>
          </w:tcPr>
          <w:p>
            <w:pPr/>
            <w:r>
              <w:t xml:space="preserve">La autoridad de protección de datos de su Estado miembro (en España, la Agencia Española de Protección de Datos)</w:t>
            </w:r>
          </w:p>
        </w:tc>
      </w:tr>
      <w:tr>
        <w:tc>
          <w:tcPr>
            <w:tcW w:w="3120" w:type="dxa"/>
          </w:tcPr>
          <w:p>
            <w:pPr/>
            <w:r>
              <w:t xml:space="preserve">Reino Unido</w:t>
            </w:r>
          </w:p>
        </w:tc>
        <w:tc>
          <w:tcPr>
            <w:tcW w:w="3120" w:type="dxa"/>
          </w:tcPr>
          <w:p>
            <w:pPr/>
            <w:r>
              <w:t xml:space="preserve">1 mes, prorrogable por 2 meses</w:t>
            </w:r>
          </w:p>
        </w:tc>
        <w:tc>
          <w:tcPr>
            <w:tcW w:w="3120" w:type="dxa"/>
          </w:tcPr>
          <w:p>
            <w:pPr/>
            <w:r>
              <w:t xml:space="preserve">Information Commissioner's Office</w:t>
            </w:r>
          </w:p>
        </w:tc>
      </w:tr>
      <w:tr>
        <w:tc>
          <w:tcPr>
            <w:tcW w:w="3120" w:type="dxa"/>
          </w:tcPr>
          <w:p>
            <w:pPr/>
            <w:r>
              <w:t xml:space="preserve">Suiza</w:t>
            </w:r>
          </w:p>
        </w:tc>
        <w:tc>
          <w:tcPr>
            <w:tcW w:w="3120" w:type="dxa"/>
          </w:tcPr>
          <w:p>
            <w:pPr/>
            <w:r>
              <w:t xml:space="preserve">30 días</w:t>
            </w:r>
          </w:p>
        </w:tc>
        <w:tc>
          <w:tcPr>
            <w:tcW w:w="3120" w:type="dxa"/>
          </w:tcPr>
          <w:p>
            <w:pPr/>
            <w:r>
              <w:t xml:space="preserve">Comisionado Federal de Protección de Datos e Información</w:t>
            </w:r>
          </w:p>
        </w:tc>
      </w:tr>
      <w:tr>
        <w:tc>
          <w:tcPr>
            <w:tcW w:w="3120" w:type="dxa"/>
          </w:tcPr>
          <w:p>
            <w:pPr/>
            <w:r>
              <w:t xml:space="preserve">Brasil</w:t>
            </w:r>
          </w:p>
        </w:tc>
        <w:tc>
          <w:tcPr>
            <w:tcW w:w="3120" w:type="dxa"/>
          </w:tcPr>
          <w:p>
            <w:pPr/>
            <w:r>
              <w:t xml:space="preserve">Confirmación simplificada de inmediato; respuesta completa dentro de 15 días</w:t>
            </w:r>
          </w:p>
        </w:tc>
        <w:tc>
          <w:tcPr>
            <w:tcW w:w="3120" w:type="dxa"/>
          </w:tcPr>
          <w:p>
            <w:pPr/>
            <w:r>
              <w:t xml:space="preserve">Autoridade Nacional de Proteção de Dados (ANPD)</w:t>
            </w:r>
          </w:p>
        </w:tc>
      </w:tr>
      <w:tr>
        <w:tc>
          <w:tcPr>
            <w:tcW w:w="3120" w:type="dxa"/>
          </w:tcPr>
          <w:p>
            <w:pPr/>
            <w:r>
              <w:t xml:space="preserve">Chile</w:t>
            </w:r>
          </w:p>
        </w:tc>
        <w:tc>
          <w:tcPr>
            <w:tcW w:w="3120" w:type="dxa"/>
          </w:tcPr>
          <w:p>
            <w:pPr/>
            <w:r>
              <w:t xml:space="preserve">2 días hábiles según la Ley N° 19.628; a partir del 1 de diciembre de 2026, 30 días corridos, prorrogables una vez por 30, según la Ley N° 21.719</w:t>
            </w:r>
          </w:p>
        </w:tc>
        <w:tc>
          <w:tcPr>
            <w:tcW w:w="3120" w:type="dxa"/>
          </w:tcPr>
          <w:p>
            <w:pPr/>
            <w:r>
              <w:t xml:space="preserve">Agencia de Protección de Datos Personales (a partir del 1 de diciembre de 2026)</w:t>
            </w:r>
          </w:p>
        </w:tc>
      </w:tr>
      <w:tr>
        <w:tc>
          <w:tcPr>
            <w:tcW w:w="3120" w:type="dxa"/>
          </w:tcPr>
          <w:p>
            <w:pPr/>
            <w:r>
              <w:t xml:space="preserve">México</w:t>
            </w:r>
          </w:p>
        </w:tc>
        <w:tc>
          <w:tcPr>
            <w:tcW w:w="3120" w:type="dxa"/>
          </w:tcPr>
          <w:p>
            <w:pPr/>
            <w:r>
              <w:t xml:space="preserve">20 días hábiles para responder, y 15 días hábiles para hacer efectiva la decisión</w:t>
            </w:r>
          </w:p>
        </w:tc>
        <w:tc>
          <w:tcPr>
            <w:tcW w:w="3120" w:type="dxa"/>
          </w:tcPr>
          <w:p>
            <w:pPr/>
            <w:r>
              <w:t xml:space="preserve">Secretaría Anticorrupción y Buen Gobierno</w:t>
            </w:r>
          </w:p>
        </w:tc>
      </w:tr>
      <w:tr>
        <w:tc>
          <w:tcPr>
            <w:tcW w:w="3120" w:type="dxa"/>
          </w:tcPr>
          <w:p>
            <w:pPr/>
            <w:r>
              <w:t xml:space="preserve">Estados Unidos</w:t>
            </w:r>
          </w:p>
        </w:tc>
        <w:tc>
          <w:tcPr>
            <w:tcW w:w="3120" w:type="dxa"/>
          </w:tcPr>
          <w:p>
            <w:pPr/>
            <w:r>
              <w:t xml:space="preserve">45 días, prorrogables por 45 días</w:t>
            </w:r>
          </w:p>
        </w:tc>
        <w:tc>
          <w:tcPr>
            <w:tcW w:w="3120" w:type="dxa"/>
          </w:tcPr>
          <w:p>
            <w:pPr/>
            <w:r>
              <w:t xml:space="preserve">El Fiscal General o la agencia de privacidad de su estado</w:t>
            </w:r>
          </w:p>
        </w:tc>
      </w:tr>
      <w:tr>
        <w:tc>
          <w:tcPr>
            <w:tcW w:w="3120" w:type="dxa"/>
          </w:tcPr>
          <w:p>
            <w:pPr/>
            <w:r>
              <w:t xml:space="preserve">Otros países</w:t>
            </w:r>
          </w:p>
        </w:tc>
        <w:tc>
          <w:tcPr>
            <w:tcW w:w="3120" w:type="dxa"/>
          </w:tcPr>
          <w:p>
            <w:pPr/>
            <w:r>
              <w:t xml:space="preserve">El plazo que fije la ley local, y no más de 30 días</w:t>
            </w:r>
          </w:p>
        </w:tc>
        <w:tc>
          <w:tcPr>
            <w:tcW w:w="3120" w:type="dxa"/>
          </w:tcPr>
          <w:p>
            <w:pPr/>
            <w:r>
              <w:t xml:space="preserve">Su autoridad local de protección de datos</w:t>
            </w:r>
          </w:p>
        </w:tc>
      </w:tr>
    </w:tbl>
    <w:p>
      <w:pPr/>
      <w:r>
        <w:t xml:space="preserve">Si rechazamos una solicitud, le explicaremos por qué y cómo apelar. Los residentes en Estados Unidos pueden apelar escribiendo a soporte@muud.app con "Appeal" en el asunto; respondemos dentro de 60 días.</w:t>
      </w:r>
    </w:p>
    <w:p>
      <w:pPr>
        <w:pStyle w:val="Heading3"/>
      </w:pPr>
      <w:r>
        <w:t xml:space="preserve">12.1 Nuestro representante en la UE/EEE, el Reino Unido y Suiza</w:t>
      </w:r>
    </w:p>
    <w:p>
      <w:pPr/>
      <w:r>
        <w:t xml:space="preserve">Data Protection Representative Limited, que opera como DataRep, representa a MUUD SpA conforme al art. 27 del RGPD, el art. 27 del UK GDPR y el art. 14 de la nLPD. Puede contactar a DataRep por correo en datarequest@datarep.com, indicando "MUUD SpA" en el asunto; mediante el formulario en www.datarep.com/data-request; o por correo postal en la dirección más conveniente de la lista siguiente. </w:t>
      </w:r>
      <w:r>
        <w:rPr>
          <w:b/>
        </w:rPr>
        <w:t xml:space="preserve">Las cartas deben dirigirse a "DataRep", no a MUUD SpA, o podrían no llegar, y deben referirse claramente a MUUD SpA.</w:t>
      </w:r>
      <w:r>
        <w:t xml:space="preserve"> MUUD puede solicitar que acredite su identidad antes de atender una solicitud.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País</w:t>
            </w:r>
          </w:p>
        </w:tc>
        <w:tc>
          <w:tcPr>
            <w:tcW w:w="4680" w:type="dxa"/>
            <w:shd w:val="clear" w:color="auto" w:fill="F2F2F2"/>
          </w:tcPr>
          <w:p>
            <w:pPr/>
            <w:r>
              <w:t xml:space="preserve">Dirección</w:t>
            </w:r>
          </w:p>
        </w:tc>
      </w:tr>
      <w:tr>
        <w:tc>
          <w:tcPr>
            <w:tcW w:w="4680" w:type="dxa"/>
          </w:tcPr>
          <w:p>
            <w:pPr/>
            <w:r>
              <w:t xml:space="preserve">Alemania</w:t>
            </w:r>
          </w:p>
        </w:tc>
        <w:tc>
          <w:tcPr>
            <w:tcW w:w="4680" w:type="dxa"/>
          </w:tcPr>
          <w:p>
            <w:pPr/>
            <w:r>
              <w:t xml:space="preserve">DataRep, 3rd and 4th floor, Altmarkt 10 B/D, Dresden, 01067, Germany</w:t>
            </w:r>
          </w:p>
        </w:tc>
      </w:tr>
      <w:tr>
        <w:tc>
          <w:tcPr>
            <w:tcW w:w="4680" w:type="dxa"/>
          </w:tcPr>
          <w:p>
            <w:pPr/>
            <w:r>
              <w:t xml:space="preserve">Austria</w:t>
            </w:r>
          </w:p>
        </w:tc>
        <w:tc>
          <w:tcPr>
            <w:tcW w:w="4680" w:type="dxa"/>
          </w:tcPr>
          <w:p>
            <w:pPr/>
            <w:r>
              <w:t xml:space="preserve">DataRep, City Tower, Brückenkopfgasse 1/6. Stock, Graz, 8020, Austria</w:t>
            </w:r>
          </w:p>
        </w:tc>
      </w:tr>
      <w:tr>
        <w:tc>
          <w:tcPr>
            <w:tcW w:w="4680" w:type="dxa"/>
          </w:tcPr>
          <w:p>
            <w:pPr/>
            <w:r>
              <w:t xml:space="preserve">Bélgica</w:t>
            </w:r>
          </w:p>
        </w:tc>
        <w:tc>
          <w:tcPr>
            <w:tcW w:w="4680" w:type="dxa"/>
          </w:tcPr>
          <w:p>
            <w:pPr/>
            <w:r>
              <w:t xml:space="preserve">DataRep, Rue des Colonies 11, Brussels, 1000, Belgium</w:t>
            </w:r>
          </w:p>
        </w:tc>
      </w:tr>
      <w:tr>
        <w:tc>
          <w:tcPr>
            <w:tcW w:w="4680" w:type="dxa"/>
          </w:tcPr>
          <w:p>
            <w:pPr/>
            <w:r>
              <w:t xml:space="preserve">Bulgaria</w:t>
            </w:r>
          </w:p>
        </w:tc>
        <w:tc>
          <w:tcPr>
            <w:tcW w:w="4680" w:type="dxa"/>
          </w:tcPr>
          <w:p>
            <w:pPr/>
            <w:r>
              <w:t xml:space="preserve">DataRep, 25 Vitosha blvd. Fl. 2, office 4, 1000, Sofia, Bulgaria</w:t>
            </w:r>
          </w:p>
        </w:tc>
      </w:tr>
      <w:tr>
        <w:tc>
          <w:tcPr>
            <w:tcW w:w="4680" w:type="dxa"/>
          </w:tcPr>
          <w:p>
            <w:pPr/>
            <w:r>
              <w:t xml:space="preserve">Chipre</w:t>
            </w:r>
          </w:p>
        </w:tc>
        <w:tc>
          <w:tcPr>
            <w:tcW w:w="4680" w:type="dxa"/>
          </w:tcPr>
          <w:p>
            <w:pPr/>
            <w:r>
              <w:t xml:space="preserve">DataRep, Victory House, 205 Archbishop Makarios Avenue, Limassol, 3030, Cyprus</w:t>
            </w:r>
          </w:p>
        </w:tc>
      </w:tr>
      <w:tr>
        <w:tc>
          <w:tcPr>
            <w:tcW w:w="4680" w:type="dxa"/>
          </w:tcPr>
          <w:p>
            <w:pPr/>
            <w:r>
              <w:t xml:space="preserve">Croacia</w:t>
            </w:r>
          </w:p>
        </w:tc>
        <w:tc>
          <w:tcPr>
            <w:tcW w:w="4680" w:type="dxa"/>
          </w:tcPr>
          <w:p>
            <w:pPr/>
            <w:r>
              <w:t xml:space="preserve">DataRep, Ground &amp; 9th Floor, Hoto Tower, Savska cesta 32, Zagreb, 10000, Croatia</w:t>
            </w:r>
          </w:p>
        </w:tc>
      </w:tr>
      <w:tr>
        <w:tc>
          <w:tcPr>
            <w:tcW w:w="4680" w:type="dxa"/>
          </w:tcPr>
          <w:p>
            <w:pPr/>
            <w:r>
              <w:t xml:space="preserve">Dinamarca</w:t>
            </w:r>
          </w:p>
        </w:tc>
        <w:tc>
          <w:tcPr>
            <w:tcW w:w="4680" w:type="dxa"/>
          </w:tcPr>
          <w:p>
            <w:pPr/>
            <w:r>
              <w:t xml:space="preserve">DataRep, Lautruphøj 1-3, Ballerup, 2750, Denmark</w:t>
            </w:r>
          </w:p>
        </w:tc>
      </w:tr>
      <w:tr>
        <w:tc>
          <w:tcPr>
            <w:tcW w:w="4680" w:type="dxa"/>
          </w:tcPr>
          <w:p>
            <w:pPr/>
            <w:r>
              <w:t xml:space="preserve">Eslovaquia</w:t>
            </w:r>
          </w:p>
        </w:tc>
        <w:tc>
          <w:tcPr>
            <w:tcW w:w="4680" w:type="dxa"/>
          </w:tcPr>
          <w:p>
            <w:pPr/>
            <w:r>
              <w:t xml:space="preserve">DataRep, Apollo Business Centre II, Block E / 9th floor, 4D Prievozska, Bratislava, 821 09, Slovakia</w:t>
            </w:r>
          </w:p>
        </w:tc>
      </w:tr>
      <w:tr>
        <w:tc>
          <w:tcPr>
            <w:tcW w:w="4680" w:type="dxa"/>
          </w:tcPr>
          <w:p>
            <w:pPr/>
            <w:r>
              <w:t xml:space="preserve">Eslovenia</w:t>
            </w:r>
          </w:p>
        </w:tc>
        <w:tc>
          <w:tcPr>
            <w:tcW w:w="4680" w:type="dxa"/>
          </w:tcPr>
          <w:p>
            <w:pPr/>
            <w:r>
              <w:t xml:space="preserve">DataRep, Trg. Republike 3, Floor 3, Ljubljana, 1000, Slovenia</w:t>
            </w:r>
          </w:p>
        </w:tc>
      </w:tr>
      <w:tr>
        <w:tc>
          <w:tcPr>
            <w:tcW w:w="4680" w:type="dxa"/>
          </w:tcPr>
          <w:p>
            <w:pPr/>
            <w:r>
              <w:t xml:space="preserve">España</w:t>
            </w:r>
          </w:p>
        </w:tc>
        <w:tc>
          <w:tcPr>
            <w:tcW w:w="4680" w:type="dxa"/>
          </w:tcPr>
          <w:p>
            <w:pPr/>
            <w:r>
              <w:t xml:space="preserve">DataRep, Calle de Manzanares 4, Madrid, 28005, España</w:t>
            </w:r>
          </w:p>
        </w:tc>
      </w:tr>
      <w:tr>
        <w:tc>
          <w:tcPr>
            <w:tcW w:w="4680" w:type="dxa"/>
          </w:tcPr>
          <w:p>
            <w:pPr/>
            <w:r>
              <w:t xml:space="preserve">Estonia</w:t>
            </w:r>
          </w:p>
        </w:tc>
        <w:tc>
          <w:tcPr>
            <w:tcW w:w="4680" w:type="dxa"/>
          </w:tcPr>
          <w:p>
            <w:pPr/>
            <w:r>
              <w:t xml:space="preserve">DataRep, 2nd Floor, Tornimae 5, Tallinn, 10145, Estonia</w:t>
            </w:r>
          </w:p>
        </w:tc>
      </w:tr>
      <w:tr>
        <w:tc>
          <w:tcPr>
            <w:tcW w:w="4680" w:type="dxa"/>
          </w:tcPr>
          <w:p>
            <w:pPr/>
            <w:r>
              <w:t xml:space="preserve">Finlandia</w:t>
            </w:r>
          </w:p>
        </w:tc>
        <w:tc>
          <w:tcPr>
            <w:tcW w:w="4680" w:type="dxa"/>
          </w:tcPr>
          <w:p>
            <w:pPr/>
            <w:r>
              <w:t xml:space="preserve">DataRep, Luna House, 5.krs, Mannerheimintie 12 B, Helsinki, 00100, Finland</w:t>
            </w:r>
          </w:p>
        </w:tc>
      </w:tr>
      <w:tr>
        <w:tc>
          <w:tcPr>
            <w:tcW w:w="4680" w:type="dxa"/>
          </w:tcPr>
          <w:p>
            <w:pPr/>
            <w:r>
              <w:t xml:space="preserve">Francia</w:t>
            </w:r>
          </w:p>
        </w:tc>
        <w:tc>
          <w:tcPr>
            <w:tcW w:w="4680" w:type="dxa"/>
          </w:tcPr>
          <w:p>
            <w:pPr/>
            <w:r>
              <w:t xml:space="preserve">DataRep, 72 rue de Lessard, Rouen, 76100, France</w:t>
            </w:r>
          </w:p>
        </w:tc>
      </w:tr>
      <w:tr>
        <w:tc>
          <w:tcPr>
            <w:tcW w:w="4680" w:type="dxa"/>
          </w:tcPr>
          <w:p>
            <w:pPr/>
            <w:r>
              <w:t xml:space="preserve">Grecia</w:t>
            </w:r>
          </w:p>
        </w:tc>
        <w:tc>
          <w:tcPr>
            <w:tcW w:w="4680" w:type="dxa"/>
          </w:tcPr>
          <w:p>
            <w:pPr/>
            <w:r>
              <w:t xml:space="preserve">DataRep, Ippodamias Sq. 8, 4th floor, Piraeus, Attica, Greece</w:t>
            </w:r>
          </w:p>
        </w:tc>
      </w:tr>
      <w:tr>
        <w:tc>
          <w:tcPr>
            <w:tcW w:w="4680" w:type="dxa"/>
          </w:tcPr>
          <w:p>
            <w:pPr/>
            <w:r>
              <w:t xml:space="preserve">Hungría</w:t>
            </w:r>
          </w:p>
        </w:tc>
        <w:tc>
          <w:tcPr>
            <w:tcW w:w="4680" w:type="dxa"/>
          </w:tcPr>
          <w:p>
            <w:pPr/>
            <w:r>
              <w:t xml:space="preserve">DataRep, 1054 Honved street, 8 1/2, Budapest, Hungary</w:t>
            </w:r>
          </w:p>
        </w:tc>
      </w:tr>
      <w:tr>
        <w:tc>
          <w:tcPr>
            <w:tcW w:w="4680" w:type="dxa"/>
          </w:tcPr>
          <w:p>
            <w:pPr/>
            <w:r>
              <w:t xml:space="preserve">Irlanda</w:t>
            </w:r>
          </w:p>
        </w:tc>
        <w:tc>
          <w:tcPr>
            <w:tcW w:w="4680" w:type="dxa"/>
          </w:tcPr>
          <w:p>
            <w:pPr/>
            <w:r>
              <w:t xml:space="preserve">DataRep, 77 Camden Street Lower, Dublin, D02 XE80, Ireland</w:t>
            </w:r>
          </w:p>
        </w:tc>
      </w:tr>
      <w:tr>
        <w:tc>
          <w:tcPr>
            <w:tcW w:w="4680" w:type="dxa"/>
          </w:tcPr>
          <w:p>
            <w:pPr/>
            <w:r>
              <w:t xml:space="preserve">Islandia</w:t>
            </w:r>
          </w:p>
        </w:tc>
        <w:tc>
          <w:tcPr>
            <w:tcW w:w="4680" w:type="dxa"/>
          </w:tcPr>
          <w:p>
            <w:pPr/>
            <w:r>
              <w:t xml:space="preserve">DataRep, Laugavegur 13, 101 Reykjavik, Iceland</w:t>
            </w:r>
          </w:p>
        </w:tc>
      </w:tr>
      <w:tr>
        <w:tc>
          <w:tcPr>
            <w:tcW w:w="4680" w:type="dxa"/>
          </w:tcPr>
          <w:p>
            <w:pPr/>
            <w:r>
              <w:t xml:space="preserve">Italia</w:t>
            </w:r>
          </w:p>
        </w:tc>
        <w:tc>
          <w:tcPr>
            <w:tcW w:w="4680" w:type="dxa"/>
          </w:tcPr>
          <w:p>
            <w:pPr/>
            <w:r>
              <w:t xml:space="preserve">DataRep, Viale Giorgio Ribotta 11, Piano 1, Rome, Lazio, 00144, Italy</w:t>
            </w:r>
          </w:p>
        </w:tc>
      </w:tr>
      <w:tr>
        <w:tc>
          <w:tcPr>
            <w:tcW w:w="4680" w:type="dxa"/>
          </w:tcPr>
          <w:p>
            <w:pPr/>
            <w:r>
              <w:t xml:space="preserve">Letonia</w:t>
            </w:r>
          </w:p>
        </w:tc>
        <w:tc>
          <w:tcPr>
            <w:tcW w:w="4680" w:type="dxa"/>
          </w:tcPr>
          <w:p>
            <w:pPr/>
            <w:r>
              <w:t xml:space="preserve">DataRep, 4th &amp; 5th floors, 14 Terbatas Street, Riga, LV-1011, Latvia</w:t>
            </w:r>
          </w:p>
        </w:tc>
      </w:tr>
      <w:tr>
        <w:tc>
          <w:tcPr>
            <w:tcW w:w="4680" w:type="dxa"/>
          </w:tcPr>
          <w:p>
            <w:pPr/>
            <w:r>
              <w:t xml:space="preserve">Liechtenstein</w:t>
            </w:r>
          </w:p>
        </w:tc>
        <w:tc>
          <w:tcPr>
            <w:tcW w:w="4680" w:type="dxa"/>
          </w:tcPr>
          <w:p>
            <w:pPr/>
            <w:r>
              <w:t xml:space="preserve">DataRep, City Tower, Brückenkopfgasse 1/6. Stock, Graz, 8020, Austria</w:t>
            </w:r>
          </w:p>
        </w:tc>
      </w:tr>
      <w:tr>
        <w:tc>
          <w:tcPr>
            <w:tcW w:w="4680" w:type="dxa"/>
          </w:tcPr>
          <w:p>
            <w:pPr/>
            <w:r>
              <w:t xml:space="preserve">Lituania</w:t>
            </w:r>
          </w:p>
        </w:tc>
        <w:tc>
          <w:tcPr>
            <w:tcW w:w="4680" w:type="dxa"/>
          </w:tcPr>
          <w:p>
            <w:pPr/>
            <w:r>
              <w:t xml:space="preserve">DataRep, 44A Gedimino Avenue, 01110 Vilnius, Lithuania</w:t>
            </w:r>
          </w:p>
        </w:tc>
      </w:tr>
      <w:tr>
        <w:tc>
          <w:tcPr>
            <w:tcW w:w="4680" w:type="dxa"/>
          </w:tcPr>
          <w:p>
            <w:pPr/>
            <w:r>
              <w:t xml:space="preserve">Luxemburgo</w:t>
            </w:r>
          </w:p>
        </w:tc>
        <w:tc>
          <w:tcPr>
            <w:tcW w:w="4680" w:type="dxa"/>
          </w:tcPr>
          <w:p>
            <w:pPr/>
            <w:r>
              <w:t xml:space="preserve">DataRep, BPM 335368, Banzelt 4 A, 6921, Roodt-sur-Syre, Luxembourg</w:t>
            </w:r>
          </w:p>
        </w:tc>
      </w:tr>
      <w:tr>
        <w:tc>
          <w:tcPr>
            <w:tcW w:w="4680" w:type="dxa"/>
          </w:tcPr>
          <w:p>
            <w:pPr/>
            <w:r>
              <w:t xml:space="preserve">Malta</w:t>
            </w:r>
          </w:p>
        </w:tc>
        <w:tc>
          <w:tcPr>
            <w:tcW w:w="4680" w:type="dxa"/>
          </w:tcPr>
          <w:p>
            <w:pPr/>
            <w:r>
              <w:t xml:space="preserve">DataRep, Tower Business Centre, 2nd floor, Tower Street, Swatar, BKR4013, Malta</w:t>
            </w:r>
          </w:p>
        </w:tc>
      </w:tr>
      <w:tr>
        <w:tc>
          <w:tcPr>
            <w:tcW w:w="4680" w:type="dxa"/>
          </w:tcPr>
          <w:p>
            <w:pPr/>
            <w:r>
              <w:t xml:space="preserve">Noruega</w:t>
            </w:r>
          </w:p>
        </w:tc>
        <w:tc>
          <w:tcPr>
            <w:tcW w:w="4680" w:type="dxa"/>
          </w:tcPr>
          <w:p>
            <w:pPr/>
            <w:r>
              <w:t xml:space="preserve">DataRep, C.J. Hambros Plass 2c, Oslo, 0164, Norway</w:t>
            </w:r>
          </w:p>
        </w:tc>
      </w:tr>
      <w:tr>
        <w:tc>
          <w:tcPr>
            <w:tcW w:w="4680" w:type="dxa"/>
          </w:tcPr>
          <w:p>
            <w:pPr/>
            <w:r>
              <w:t xml:space="preserve">Países Bajos</w:t>
            </w:r>
          </w:p>
        </w:tc>
        <w:tc>
          <w:tcPr>
            <w:tcW w:w="4680" w:type="dxa"/>
          </w:tcPr>
          <w:p>
            <w:pPr/>
            <w:r>
              <w:t xml:space="preserve">DataRep, De Nieuwe Erven 3 Unit 15162, 5431 NV Cuijk, Netherlands</w:t>
            </w:r>
          </w:p>
        </w:tc>
      </w:tr>
      <w:tr>
        <w:tc>
          <w:tcPr>
            <w:tcW w:w="4680" w:type="dxa"/>
          </w:tcPr>
          <w:p>
            <w:pPr/>
            <w:r>
              <w:t xml:space="preserve">Polonia</w:t>
            </w:r>
          </w:p>
        </w:tc>
        <w:tc>
          <w:tcPr>
            <w:tcW w:w="4680" w:type="dxa"/>
          </w:tcPr>
          <w:p>
            <w:pPr/>
            <w:r>
              <w:t xml:space="preserve">DataRep, Budynek Fronton ul Kamienna 21, Krakow, 31-403, Poland</w:t>
            </w:r>
          </w:p>
        </w:tc>
      </w:tr>
      <w:tr>
        <w:tc>
          <w:tcPr>
            <w:tcW w:w="4680" w:type="dxa"/>
          </w:tcPr>
          <w:p>
            <w:pPr/>
            <w:r>
              <w:t xml:space="preserve">Portugal</w:t>
            </w:r>
          </w:p>
        </w:tc>
        <w:tc>
          <w:tcPr>
            <w:tcW w:w="4680" w:type="dxa"/>
          </w:tcPr>
          <w:p>
            <w:pPr/>
            <w:r>
              <w:t xml:space="preserve">DataRep, Torre de Monsanto, Rua Afonso Praça 30, 7th floor, Algès, Lisbon, 1495-061, Portugal</w:t>
            </w:r>
          </w:p>
        </w:tc>
      </w:tr>
      <w:tr>
        <w:tc>
          <w:tcPr>
            <w:tcW w:w="4680" w:type="dxa"/>
          </w:tcPr>
          <w:p>
            <w:pPr/>
            <w:r>
              <w:t xml:space="preserve">Reino Unido</w:t>
            </w:r>
          </w:p>
        </w:tc>
        <w:tc>
          <w:tcPr>
            <w:tcW w:w="4680" w:type="dxa"/>
          </w:tcPr>
          <w:p>
            <w:pPr/>
            <w:r>
              <w:t xml:space="preserve">DataRep, 107-111 Fleet Street, London, EC4A 2AB, United Kingdom</w:t>
            </w:r>
          </w:p>
        </w:tc>
      </w:tr>
      <w:tr>
        <w:tc>
          <w:tcPr>
            <w:tcW w:w="4680" w:type="dxa"/>
          </w:tcPr>
          <w:p>
            <w:pPr/>
            <w:r>
              <w:t xml:space="preserve">República Checa</w:t>
            </w:r>
          </w:p>
        </w:tc>
        <w:tc>
          <w:tcPr>
            <w:tcW w:w="4680" w:type="dxa"/>
          </w:tcPr>
          <w:p>
            <w:pPr/>
            <w:r>
              <w:t xml:space="preserve">DataRep, Platan Office, 28. října 205/45, Floor 3&amp;4, Ostrava, 70200, Czech Republic</w:t>
            </w:r>
          </w:p>
        </w:tc>
      </w:tr>
      <w:tr>
        <w:tc>
          <w:tcPr>
            <w:tcW w:w="4680" w:type="dxa"/>
          </w:tcPr>
          <w:p>
            <w:pPr/>
            <w:r>
              <w:t xml:space="preserve">Rumania</w:t>
            </w:r>
          </w:p>
        </w:tc>
        <w:tc>
          <w:tcPr>
            <w:tcW w:w="4680" w:type="dxa"/>
          </w:tcPr>
          <w:p>
            <w:pPr/>
            <w:r>
              <w:t xml:space="preserve">DataRep, 15 Piața Charles de Gaulle, nr. 1-T, București, Sectorul 1, 011857, Romania</w:t>
            </w:r>
          </w:p>
        </w:tc>
      </w:tr>
      <w:tr>
        <w:tc>
          <w:tcPr>
            <w:tcW w:w="4680" w:type="dxa"/>
          </w:tcPr>
          <w:p>
            <w:pPr/>
            <w:r>
              <w:t xml:space="preserve">Suecia</w:t>
            </w:r>
          </w:p>
        </w:tc>
        <w:tc>
          <w:tcPr>
            <w:tcW w:w="4680" w:type="dxa"/>
          </w:tcPr>
          <w:p>
            <w:pPr/>
            <w:r>
              <w:t xml:space="preserve">DataRep, S:t Johannesgatan 2, 4th floor, Malmo, SE-211 46, Sweden</w:t>
            </w:r>
          </w:p>
        </w:tc>
      </w:tr>
      <w:tr>
        <w:tc>
          <w:tcPr>
            <w:tcW w:w="4680" w:type="dxa"/>
          </w:tcPr>
          <w:p>
            <w:pPr/>
            <w:r>
              <w:t xml:space="preserve">Suiza</w:t>
            </w:r>
          </w:p>
        </w:tc>
        <w:tc>
          <w:tcPr>
            <w:tcW w:w="4680" w:type="dxa"/>
          </w:tcPr>
          <w:p>
            <w:pPr/>
            <w:r>
              <w:t xml:space="preserve">DataRep, Leutschenbachstrasse 95, Zurich, 8050, Switzerland</w:t>
            </w:r>
          </w:p>
        </w:tc>
      </w:tr>
    </w:tbl>
    <w:p>
      <w:pPr>
        <w:pStyle w:val="Heading2"/>
      </w:pPr>
      <w:r>
        <w:t xml:space="preserve">13. Información para países específicos</w:t>
      </w:r>
    </w:p>
    <w:p>
      <w:pPr>
        <w:pStyle w:val="Heading3"/>
      </w:pPr>
      <w:r>
        <w:t xml:space="preserve">13.1 Unión Europea, EEE, Reino Unido y Suiza</w:t>
      </w:r>
    </w:p>
    <w:p>
      <w:pPr/>
      <w:r>
        <w:t xml:space="preserve">Se aplican el RGPD, el UK GDPR y la nLPD suiza. Cuando MUUD es responsable, las bases legales son las de la Sección 6. Usted tiene derecho a oponerse en cualquier momento al tratamiento basado en el interés legítimo, y al marketing directo sin necesidad de dar razones. No existen decisiones automatizadas en el sentido del art. 22 del RGPD. MUUD no está establecida en la UE y, por lo tanto, no tiene una autoridad de control principal: puede reclamar ante la autoridad de su país de residencia, de trabajo o del lugar de la supuesta infracción.</w:t>
      </w:r>
    </w:p>
    <w:p>
      <w:pPr>
        <w:pStyle w:val="Heading3"/>
      </w:pPr>
      <w:r>
        <w:t xml:space="preserve">13.2 España</w:t>
      </w:r>
    </w:p>
    <w:p>
      <w:pPr/>
      <w:r>
        <w:t xml:space="preserve">Además del RGPD, se aplica la LOPDGDD. Los datos de estudiantes menores de 14 años se tratan con el consentimiento de quienes ejercen la patria potestad, o con otra base legal establecida por el colegio conforme a la legislación educativa española. Puede reclamar ante la Agencia Española de Protección de Datos (www.aepd.es).</w:t>
      </w:r>
    </w:p>
    <w:p>
      <w:pPr>
        <w:pStyle w:val="Heading3"/>
      </w:pPr>
      <w:r>
        <w:t xml:space="preserve">13.3 Brasil</w:t>
      </w:r>
    </w:p>
    <w:p>
      <w:pPr/>
      <w:r>
        <w:t xml:space="preserve">Se aplican la LGPD y el ECA Digital (Ley N° 15.211/2025). Usted tiene los derechos del art. 18 de la LGPD: confirmación del tratamiento, acceso, corrección, anonimización, bloqueo o eliminación de datos innecesarios o excesivos, portabilidad, eliminación de los datos tratados con base en el consentimiento, información sobre el uso compartido, información sobre la posibilidad de no consentir y sus consecuencias, revocación del consentimiento y revisión de decisiones automatizadas (art. 20). MUUD no ha designado un encarregado. Para los clientes escolares y empresariales en Brasil, MUUD actúa como operador por cuenta del cliente, y el cliente, como controlador, es el punto de contacto de sus titulares. Para el tratamiento limitado que MUUD realiza como controlador (datos de contacto de clientes y prospectos), MUUD mantiene un canal de comunicación con los titulares y con la ANPD en soporte@muud.app, que recibe reclamos y comunicaciones, entrega aclaraciones y adopta las medidas necesarias, cumpliendo las funciones descritas en el art. 41, párrafo 2, de la LGPD. Los datos de niños, niñas y adolescentes se tratan en su interés superior, con las protecciones descritas en la Sección 7.</w:t>
      </w:r>
    </w:p>
    <w:p>
      <w:pPr>
        <w:pStyle w:val="Heading3"/>
      </w:pPr>
      <w:r>
        <w:t xml:space="preserve">13.4 Chile</w:t>
      </w:r>
    </w:p>
    <w:p>
      <w:pPr/>
      <w:r>
        <w:t xml:space="preserve">Se aplica la Ley N° 19.628 y, a partir del 1 de diciembre de 2026, la Ley N° 21.719. Usted tiene los derechos de acceso, rectificación, supresión, oposición, portabilidad y bloqueo, y el derecho a no ser objeto de decisiones basadas únicamente en un tratamiento automatizado. A partir del 1 de diciembre de 2026, puede reclamar ante la Agencia de Protección de Datos Personales si no respondemos o si no está de acuerdo con nuestra respuesta.</w:t>
      </w:r>
    </w:p>
    <w:p>
      <w:pPr>
        <w:pStyle w:val="Heading3"/>
      </w:pPr>
      <w:r>
        <w:t xml:space="preserve">13.5 México: Aviso de Privacidad</w:t>
      </w:r>
    </w:p>
    <w:p>
      <w:pPr/>
      <w:r>
        <w:t xml:space="preserve">El responsable de los datos que MUUD trata por cuenta propia es MUUD SpA, con domicilio en Av. Presidente Kennedy 5600, Of. 507, Vitacura, Santiago, Chile. En las implementaciones escolares y de lugares de trabajo, el responsable es su colegio o empleador, y MUUD actúa como encargado. Los datos que tratamos, sus finalidades (primarias y secundarias), los datos sensibles involucrados y los destinatarios se describen en las Secciones 3 a 8. MUUD no realiza transferencias que requieran su consentimiento. Cuando MUUD es responsable, los datos sensibles se tratan sólo con su consentimiento expreso y por escrito, otorgado en la App. Puede ejercer sus derechos ARCO (acceso, rectificación, cancelación y oposición), revocar su consentimiento o limitar el uso o divulgación de sus datos escribiendo a soporte@muud.app, con su nombre, copia de un documento de identificación o de la acreditación de la representación, una descripción clara de los datos y del derecho que desea ejercer, y cualquier documento que ayude a localizar los datos. Responderemos dentro de 20 días hábiles y haremos efectiva la decisión dentro de 15 días hábiles. Los cambios a este aviso se publicarán en https://muud.app/politica-de-privacidad y, si son sustanciales, se informarán por correo o en la App.</w:t>
      </w:r>
    </w:p>
    <w:p>
      <w:pPr>
        <w:pStyle w:val="Heading3"/>
      </w:pPr>
      <w:r>
        <w:t xml:space="preserve">13.6 Estados Unidos</w:t>
      </w:r>
    </w:p>
    <w:p>
      <w:pPr/>
      <w:r>
        <w:rPr>
          <w:b/>
        </w:rPr>
        <w:t xml:space="preserve">Estudiantes.</w:t>
      </w:r>
      <w:r>
        <w:t xml:space="preserve"> MUUD actúa como school official conforme a FERPA, se basa en la autorización del colegio conforme a COPPA para los estudiantes menores de 13 años (Sección 7) y cumple las leyes estatales de privacidad estudiantil aplicables, incluidas la SOPIPA de California, la SOPPA de Illinois y la RCW 28A.604 de Washington: sin publicidad dirigida, sin venta de datos estudiantiles y sin perfilamiento con fines no educacionales.</w:t>
      </w:r>
    </w:p>
    <w:p>
      <w:pPr/>
      <w:r>
        <w:rPr>
          <w:b/>
        </w:rPr>
        <w:t xml:space="preserve">Leyes estatales de privacidad de los consumidores.</w:t>
      </w:r>
      <w:r>
        <w:t xml:space="preserve"> Los residentes de estados con leyes de privacidad de los consumidores, incluidos California, Colorado, Connecticut, Virginia y otros, tienen los derechos descritos en la Sección 12, incluidos los de saber, acceder, corregir, eliminar y portar sus datos, y apelar una negativa. En los últimos 12 meses recopilamos las categorías de información personal descritas en la Sección 3: identificadores, registros de clientes, actividad en internet y redes, información profesional e información personal sensible (datos de inicio de sesión e información sobre bienestar emocional). Usamos la información personal sensible sólo para prestar los Servicios, según lo permite la ley. Comunicamos estas categorías con fines comerciales sólo a los proveedores de servicios de la Sección 8. </w:t>
      </w:r>
      <w:r>
        <w:rPr>
          <w:b/>
        </w:rPr>
        <w:t xml:space="preserve">No vendemos ni compartimos información personal, y no la usamos para publicidad dirigida ni para perfilamiento con efectos jurídicos o efectos similares significativos</w:t>
      </w:r>
      <w:r>
        <w:t xml:space="preserve">; como no la vendemos ni la compartimos, no hay nada de lo que excluirse, y tratamos las señales de exclusión del navegador, como Global Privacy Control, como una confirmación de esa elección. No comunicamos información personal a terceros para sus fines de marketing directo (California Civil Code 1798.83).</w:t>
      </w:r>
    </w:p>
    <w:p>
      <w:pPr>
        <w:pStyle w:val="Heading3"/>
      </w:pPr>
      <w:r>
        <w:t xml:space="preserve">13.7 Otros países</w:t>
      </w:r>
    </w:p>
    <w:p>
      <w:pPr/>
      <w:r>
        <w:t xml:space="preserve">En Argentina, Colombia, Perú y cualquier otro país donde se use MUUD, aplicamos la ley local de protección de datos, y usted puede ejercer los derechos que ella le otorga a través de los canales de la Sección 12 y reclamar ante su autoridad local.</w:t>
      </w:r>
    </w:p>
    <w:p>
      <w:pPr>
        <w:pStyle w:val="Heading2"/>
      </w:pPr>
      <w:r>
        <w:t xml:space="preserve">14. Cookies</w:t>
      </w:r>
    </w:p>
    <w:p>
      <w:pPr/>
      <w:r>
        <w:t xml:space="preserve">La App no usa cookies ni tecnologías similares para seguimiento o publicidad. El Sitio usa cookies estrictamente necesarias para funcionar. Si el Sitio usa cookies de analítica, sólo se instalan después de que usted las acepta, y se conservan por no más de 13 meses. Puede rechazar o eliminar las cookies en la configuración de su navegador en cualquier momento; las cookies estrictamente necesarias no pueden desactivarse sin afectar el funcionamiento del Sitio.</w:t>
      </w:r>
    </w:p>
    <w:p>
      <w:pPr>
        <w:pStyle w:val="Heading2"/>
      </w:pPr>
      <w:r>
        <w:t xml:space="preserve">15. Cambios en esta Política</w:t>
      </w:r>
    </w:p>
    <w:p>
      <w:pPr/>
      <w:r>
        <w:t xml:space="preserve">Actualizaremos esta Política cuando cambien nuestras prácticas o la ley. Para cambios sustanciales, avisaremos a los clientes institucionales por correo y a los usuarios en la App al menos 30 días antes de que entren en vigencia, y pediremos un nuevo consentimiento cuando la ley lo exija. La fecha al inicio indica la última actualización, y las versiones anteriores están disponibles a pedido.</w:t>
      </w:r>
    </w:p>
    <w:p>
      <w:pPr>
        <w:pStyle w:val="Heading2"/>
      </w:pPr>
      <w:r>
        <w:t xml:space="preserve">16. Contacto</w:t>
      </w:r>
    </w:p>
    <w:p>
      <w:pPr/>
      <w:r>
        <w:t xml:space="preserve">MUUD SpA, RUT 77.634.166-5</w:t>
      </w:r>
      <w:r>
        <w:br/>
      </w:r>
      <w:r>
        <w:t xml:space="preserve">Av. Presidente Kennedy 5600, Of. 507, Vitacura, Santiago, Chile</w:t>
      </w:r>
      <w:r>
        <w:br/>
      </w:r>
      <w:r>
        <w:t xml:space="preserve">Privacidad y solicitudes de datos: soporte@muud.app</w:t>
      </w:r>
      <w:r>
        <w:br/>
      </w:r>
      <w:r>
        <w:t xml:space="preserve">Formulario de solicitudes y eliminación de cuenta: enlace "Delete account" en el pie de página de https://muud.app</w:t>
      </w:r>
      <w:r>
        <w:br/>
      </w:r>
      <w:r>
        <w:t xml:space="preserve">Teléfono: +56 9 2691 3974</w:t>
      </w:r>
      <w:r>
        <w:br/>
      </w:r>
      <w:r>
        <w:t xml:space="preserve">Representante en la UE/EEE, el Reino Unido y Suiza: DataRep, datarequest@datarep.com (Sección 12.1)</w:t>
      </w:r>
    </w:p>
    <w:p>
      <w:pPr/>
      <w:r>
        <w:t xml:space="preserve">© 2026 MUUD SpA. Todos los derechos reservados.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Política de Privacidad de MUUD</dc:title>
  <dc:description>Claude Docs node/58ae9c54-9922@4 docx-w6</dc:description>
  <cp:revision>4</cp:revision>
</cp:coreProperties>
</file>