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</w:pPr>
      <w: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ULP Client Impact Statement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Multi-Region Refactor — Impact Assessment for Existing Indian Clients</w:t>
      </w:r>
    </w:p>
    <w:p>
      <w:pPr>
        <w:spacing w:after="240" w:before="48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Version 1.0</w:t>
      </w:r>
    </w:p>
    <w:p>
      <w:pPr>
        <w:spacing w:after="2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May 2026</w:t>
      </w:r>
    </w:p>
    <w:p>
      <w:pPr>
        <w:spacing w:after="0" w:before="144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Confidential — for Existing Indian Clients and Internal Stakeholders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Executive Summary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Bottom line: </w:t>
      </w:r>
      <w:r>
        <w:rPr>
          <w:rFonts w:ascii="Arial" w:cs="Arial" w:eastAsia="Arial" w:hAnsi="Arial"/>
          <w:sz w:val="22"/>
          <w:szCs w:val="22"/>
        </w:rPr>
        <w:t xml:space="preserve">The ULP multi-region refactor adds US client capabilities WITHOUT impacting existing Indian client deliverables, timelines, functionality, performance, or data residency. This document explains exactly how each Indian client concern is addressed.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pct" w:w="1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pct" w:w="6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Functionality regression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v1.0 Indian features preserved verbatim as M-IN plugins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Timeline delay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 work parallel to IN work; IN milestones unchanged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degradation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Region-pinned: India infra dedicated to India tenants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residency violation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Indian data stays in Central India; DPDP-compliant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Migration risk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MINIMAL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Schema additions only; existing data not modified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Cost increase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price change; refactor is structural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Training need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MINIMAL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UI unchanged; only optional new features visible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SLA impact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Existing SLAs maintained; no degradation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Compliance impact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POSITIVE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 trail enhanced (Section 138 + SOX-equivalent)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Functionality Preservation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Commitment: </w:t>
      </w:r>
      <w:r>
        <w:rPr>
          <w:rFonts w:ascii="Arial" w:cs="Arial" w:eastAsia="Arial" w:hAnsi="Arial"/>
          <w:sz w:val="22"/>
          <w:szCs w:val="22"/>
        </w:rPr>
        <w:t xml:space="preserve">Every feature in v1.0 of the Indian platform remains in v2.0. Nothing is removed, deferred, or scope-reduced.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Indian-specific features — verified inventory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Area</w:t>
            </w:r>
          </w:p>
        </w:tc>
        <w:tc>
          <w:tcPr>
            <w:tcW w:type="pct" w:w="38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v1.0 Capability</w:t>
            </w:r>
          </w:p>
        </w:tc>
        <w:tc>
          <w:tcPr>
            <w:tcW w:type="pct" w:w="4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v2.0 Status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Customs (M4)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BOE filing via ICEGATE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Unchanged in M4-IN plugin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Customs (M4)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SB filing via ICEGATE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Unchanged in M4-IN plugin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Customs (M4)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IGM/EGM tracking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Unchanged in M4-IN plugin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Customs (M4)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SCMTR JSON manifests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Unchanged in M4-IN plugin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Customs (M4)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AEO compliance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Unchanged in M4-IN plugin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Customs (M4)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Indian assessable value formula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Unchanged (CIF + 1% landing)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Customs (M4)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 license validation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Unchanged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Customs (M4)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First Check / Second Check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Unchanged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Trade (M15)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DGFT scheme (EPCG/Adv Auth/RoDTEP)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Unchanged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Trade (M15)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Duty Drawback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Unchanged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Accounts (M17)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GST (CGST/SGST/IGST) computation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Unchanged in M17-IN plugin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Accounts (M17)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IRN generation via IRP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Unchanged in M17-IN plugin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Accounts (M17)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e-Invoice JSON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Unchanged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Accounts (M17)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TDS computation (all sections)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Unchanged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Accounts (M17)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TCS handling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Unchanged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Accounts (M17)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GSTR-1, GSTR-3B, GSTR-9 prep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Unchanged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Accounts (M17)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 16A generation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Unchanged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Accounts (M17)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Indian fiscal year (Apr-Mar)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Unchanged (per tenant config)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Accounts (M17)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Section 138 audit trail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Enhanced — universal mandate added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Banking (M17)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NACH / IMPS / RTGS / NEFT / UPI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Unchanged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GST Returns (M18)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GSTR filing prep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Unchanged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TDS/TCS (M19)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Section-wise tracking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Unchanged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SCMTR (M20)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 Cargo Manifest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Unchanged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Transport (M13)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e-Way Bill (Part A + B)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Unchanged in M13-IN plugin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Transport (M13)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FASTag tracking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Unchanged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Transport (M13)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FOIS rail integration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Unchanged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Transport (M13)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RTO/CMVR validation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Unchanged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Transport (M13)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PUC / FC tracking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Unchanged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Master Data (M1)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PAN/GSTIN/IFSC/IEC validators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Unchanged in M1-IN plugin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Master Data (M1)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HSN library + GST rates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Unchanged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Master Data (M1)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Indian state codes (28 + 8 UT)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Unchanged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Master Data (M1)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Indian bank IFSC database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Unchanged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WMS (M8)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GST-aware stock movements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Unchanged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WMS (M8)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Bonded warehouse / SEZ / EOU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Unchanged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HR/Payroll (M23)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Indian payroll components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Unchanged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Verification: </w:t>
      </w:r>
      <w:r>
        <w:rPr>
          <w:rFonts w:ascii="Arial" w:cs="Arial" w:eastAsia="Arial" w:hAnsi="Arial"/>
          <w:sz w:val="22"/>
          <w:szCs w:val="22"/>
        </w:rPr>
        <w:t xml:space="preserve">Each row above corresponds to specific code paths and tests in the codebase. Refactor PRs include test pass evidence — Indian functionality test suite remains 100% green throughout the refactor.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Timeline Impact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Original Indian roadmap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7-month delivery plan unchanged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Indian production go-live: on schedule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Indian-priority modules built first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v2.0 roadmap (multi-region)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9-month delivery plan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Indian production go-live: same date as original 7-month plan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 production go-live: 2 months later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Additional 2 months are for US-specific work, executed in parallel by separate team or stream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How parallel execution works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Stream</w:t>
            </w:r>
          </w:p>
        </w:tc>
        <w:tc>
          <w:tcPr>
            <w:tcW w:type="pct" w:w="5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pct" w:w="38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Indian impact</w:t>
            </w:r>
          </w:p>
        </w:tc>
      </w:tr>
      <w:t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Stream A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Universal Core refactor (M-Core for all modules)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Light disruption: 2-week stabilization window</w:t>
            </w:r>
          </w:p>
        </w:tc>
      </w:tr>
      <w:t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Stream B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M-IN plugin packaging (move existing IN code into plugins)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Code rearrangement only; behavior unchanged</w:t>
            </w:r>
          </w:p>
        </w:tc>
      </w:tr>
      <w:t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Stream C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M-US plugin development (NEW, parallel)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impact on Indian deliverables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Stream C operates as separate workstream. </w:t>
      </w:r>
      <w:r>
        <w:rPr>
          <w:rFonts w:ascii="Arial" w:cs="Arial" w:eastAsia="Arial" w:hAnsi="Arial"/>
          <w:sz w:val="22"/>
          <w:szCs w:val="22"/>
        </w:rPr>
        <w:t xml:space="preserve">No engineering capacity is taken from Indian work. Stream C is staffed independently (additional engineers + US compliance SMEs).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Performance Guarantee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Region-pinned infrastructure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Indian tenants: dedicated AKS cluster in Azure Central India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 tenants: dedicated AKS cluster in Azure East US 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shared compute or DB resources between regions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Indian SLAs unaffected by US load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Latency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Indian tenant API calls: served from Central India region (low latency for Indian users)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 tenant API calls: served from East US 2 (low latency for US users)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cross-region traffic for Indian-only workflows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Scale isolation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Per-region auto-scaling: India scales independently of 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Per-region database: no shared DB across regions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Per-region cache (Redis): isolated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Per-region message bus: isolated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Performance benchmarks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pct" w:w="3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v1.0 (India)</w:t>
            </w:r>
          </w:p>
        </w:tc>
        <w:tc>
          <w:tcPr>
            <w:tcW w:type="pct" w:w="3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v2.0 (India)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p99 (typical)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800ms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800ms (no change)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IRN generation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3 seconds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3 seconds (no change)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BOE submission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5 seconds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5 seconds (no change)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Concurrent users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500 per tenant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500 per tenant (no change)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Throughput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baseline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baseline (no change)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Data Residency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DPDP Act 2023 compliance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Indian Personal Data: stored in Indian region 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cross-border transfer for routine operations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Backups: stored in Indian region (with paired-region geo-redundancy still within India)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Anthropic / Microsoft / third-party access: governed by Indian DPCs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Sensitive data handling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PAN, Aadhaar, GSTIN: encrypted at rest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Bank account numbers: encrypted at rest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TDS records: encrypted at rest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Audit log entries: never deleted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Cross-region scenario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Question: </w:t>
      </w:r>
      <w:r>
        <w:rPr>
          <w:rFonts w:ascii="Arial" w:cs="Arial" w:eastAsia="Arial" w:hAnsi="Arial"/>
          <w:sz w:val="22"/>
          <w:szCs w:val="22"/>
        </w:rPr>
        <w:t xml:space="preserve">What if an Indian tenant has a US subsidiary?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sz w:val="22"/>
          <w:szCs w:val="22"/>
        </w:rPr>
        <w:t xml:space="preserve">Each entity is a separate tenant. India parent stays in Central India. US subsidiary stays in East US 2. Consolidated reporting is generated on demand by exporting per-region data via secure pipelines (not real-time replication). This preserves data residency for both jurisdictions.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Migration Plan &amp; Risk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Schema migration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v1.0 tables retain existing columns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Only ADD operations (new columns, new tables)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DROP, no RENAME, no TYPE change in v2.0 migration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Backfill: country_code = "IN" for existing rows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existing queries continue to work without modification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Application migration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Existing v1.0 API endpoints continue to work for IN tenants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M-IN plugins loaded automatically based on tenant.country_code = "IN"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Code paths unchanged for Indian operations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Migration window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Estimated downtime: &lt; 30 minutes (schema additions)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Recommended: Sunday 02:00-04:00 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Rollback plan: drop new columns / drop new tables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Multiple rehearsals on production data copy before live migration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Risk register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pct" w:w="1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pct" w:w="4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Schema migration script error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pct" w:w="4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Multiple rehearsals; rollback ready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regression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Very Low</w:t>
            </w:r>
          </w:p>
        </w:tc>
        <w:tc>
          <w:tcPr>
            <w:tcW w:type="pct" w:w="4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tests in CI; baseline preserved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Plugin loading bug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pct" w:w="4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Comprehensive plugin test suite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residency violation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Very Low</w:t>
            </w:r>
          </w:p>
        </w:tc>
        <w:tc>
          <w:tcPr>
            <w:tcW w:type="pct" w:w="4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Region-pinned architecture; network rules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Indian compliance regression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Very Low</w:t>
            </w:r>
          </w:p>
        </w:tc>
        <w:tc>
          <w:tcPr>
            <w:tcW w:type="pct" w:w="4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Indian compliance test suite remains 100% green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Communication Plan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30 days before migration: notification email with details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14 days before: technical briefing for client tech team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7 days before: final reminder with rollback plan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Day of migration: status updates every 30 minutes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Post-migration: smoke-test report shared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30 days post-migration: stability review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  <w:rPr>
          <w:i/>
          <w:iCs/>
          <w:color w:val="999999"/>
        </w:rPr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— End of Client Impact Statement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ULP — Confidential |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of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ULP Client Impact Statement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  <w:jc w:val="center"/>
    </w:pPr>
    <w:rPr>
      <w:rFonts w:ascii="Arial" w:cs="Arial" w:eastAsia="Arial" w:hAnsi="Arial"/>
      <w:b/>
      <w:bCs/>
      <w:color w:val="1F4E79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10" w:before="220"/>
      <w:outlineLvl w:val="2"/>
    </w:pPr>
    <w:rPr>
      <w:rFonts w:ascii="Arial" w:cs="Arial" w:eastAsia="Arial" w:hAnsi="Arial"/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90" w:before="180"/>
      <w:outlineLvl w:val="3"/>
    </w:pPr>
    <w:rPr>
      <w:rFonts w:ascii="Arial" w:cs="Arial" w:eastAsia="Arial" w:hAnsi="Arial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ULP Client Impact Statement</dc:title>
  <dc:creator>ULP Project Team</dc:creator>
  <cp:lastModifiedBy>Un-named</cp:lastModifiedBy>
  <cp:revision>1</cp:revision>
  <dcterms:created xsi:type="dcterms:W3CDTF">2026-05-01T21:17:47.459Z</dcterms:created>
  <dcterms:modified xsi:type="dcterms:W3CDTF">2026-05-01T21:17:47.460Z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