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240" w:before="0"/>
        <w:jc w:val="center"/>
      </w:pPr>
      <w:r>
        <w:rPr>
          <w:rFonts w:ascii="Arial" w:cs="Arial" w:eastAsia="Arial" w:hAnsi="Arial"/>
          <w:b/>
          <w:bCs/>
          <w:color w:val="1F4E79"/>
          <w:sz w:val="56"/>
          <w:szCs w:val="56"/>
        </w:rPr>
        <w:t xml:space="preserve">ULP DR &amp; Operations Runbook</w:t>
      </w:r>
    </w:p>
    <w:p>
      <w:pPr>
        <w:spacing w:after="240" w:before="0"/>
        <w:jc w:val="center"/>
      </w:pPr>
      <w:r>
        <w:rPr>
          <w:rFonts w:ascii="Arial" w:cs="Arial" w:eastAsia="Arial" w:hAnsi="Arial"/>
          <w:i/>
          <w:iCs/>
          <w:color w:val="666666"/>
          <w:sz w:val="28"/>
          <w:szCs w:val="28"/>
        </w:rPr>
        <w:t xml:space="preserve">Disaster Recovery, Region Failover, Incident Response</w:t>
      </w:r>
    </w:p>
    <w:p>
      <w:pPr>
        <w:spacing w:after="240" w:before="480"/>
        <w:jc w:val="center"/>
      </w:pPr>
      <w:r>
        <w:rPr>
          <w:rFonts w:ascii="Arial" w:cs="Arial" w:eastAsia="Arial" w:hAnsi="Arial"/>
          <w:b/>
          <w:bCs/>
          <w:color w:val="1F4E79"/>
          <w:sz w:val="28"/>
          <w:szCs w:val="28"/>
        </w:rPr>
        <w:t xml:space="preserve">Version 2.0</w:t>
      </w:r>
    </w:p>
    <w:p>
      <w:pPr>
        <w:spacing w:after="240"/>
        <w:jc w:val="center"/>
      </w:pPr>
      <w:r>
        <w:rPr>
          <w:rFonts w:ascii="Arial" w:cs="Arial" w:eastAsia="Arial" w:hAnsi="Arial"/>
          <w:color w:val="666666"/>
          <w:sz w:val="22"/>
          <w:szCs w:val="22"/>
        </w:rPr>
        <w:t xml:space="preserve">2026-05-02</w:t>
      </w:r>
    </w:p>
    <w:p>
      <w:pPr>
        <w:spacing w:after="0" w:before="1440"/>
        <w:jc w:val="center"/>
      </w:pPr>
      <w:r>
        <w:rPr>
          <w:rFonts w:ascii="Arial" w:cs="Arial" w:eastAsia="Arial" w:hAnsi="Arial"/>
          <w:i/>
          <w:iCs/>
          <w:color w:val="999999"/>
          <w:sz w:val="20"/>
          <w:szCs w:val="20"/>
        </w:rPr>
        <w:t xml:space="preserve">For: SRE Lead, DBA, DevOps, Engineering Manager, Incident Commander</w:t>
      </w:r>
    </w:p>
    <w:p>
      <w:r>
        <w:br w:type="page"/>
      </w:r>
    </w:p>
    <w:p>
      <w:pPr>
        <w:pStyle w:val="Heading1"/>
        <w:spacing w:after="180" w:before="360"/>
      </w:pPr>
      <w:r>
        <w:rPr>
          <w:rFonts w:ascii="Arial" w:cs="Arial" w:eastAsia="Arial" w:hAnsi="Arial"/>
          <w:b/>
          <w:bCs/>
          <w:color w:val="1F4E79"/>
          <w:sz w:val="36"/>
          <w:szCs w:val="36"/>
        </w:rPr>
        <w:t xml:space="preserve">1. Purpose</w:t>
      </w:r>
    </w:p>
    <w:p>
      <w:pPr>
        <w:spacing w:after="120"/>
      </w:pPr>
      <w:r>
        <w:rPr>
          <w:rFonts w:ascii="Arial" w:cs="Arial" w:eastAsia="Arial" w:hAnsi="Arial"/>
          <w:sz w:val="22"/>
          <w:szCs w:val="22"/>
        </w:rPr>
        <w:t xml:space="preserve">This runbook complements the Migration Runbook (which is a one-time refactor playbook). This document is the steady-state operations reference for: routine maintenance, region failover, full-region disaster recovery, on-call escalation, and post-incident review.</w:t>
      </w:r>
    </w:p>
    <w:p>
      <w:pPr>
        <w:spacing w:after="120"/>
      </w:pPr>
      <w:r>
        <w:rPr>
          <w:rFonts w:ascii="Arial" w:cs="Arial" w:eastAsia="Arial" w:hAnsi="Arial"/>
          <w:sz w:val="22"/>
          <w:szCs w:val="22"/>
        </w:rPr>
        <w:t xml:space="preserve">It is region-symmetric: the same procedures apply to Indian and US regions, with the only differences being region names, IDs, and on-call rosters.</w:t>
      </w:r>
    </w:p>
    <w:p>
      <w:pPr>
        <w:spacing w:after="80"/>
      </w:pPr>
      <w:r>
        <w:t xml:space="preserve"/>
      </w:r>
    </w:p>
    <w:p>
      <w:pPr>
        <w:pStyle w:val="Heading2"/>
        <w:spacing w:after="140" w:before="280"/>
      </w:pPr>
      <w:r>
        <w:rPr>
          <w:rFonts w:ascii="Arial" w:cs="Arial" w:eastAsia="Arial" w:hAnsi="Arial"/>
          <w:b/>
          <w:bCs/>
          <w:color w:val="2E75B6"/>
          <w:sz w:val="28"/>
          <w:szCs w:val="28"/>
        </w:rPr>
        <w:t xml:space="preserve">1.1 Indian Client Continuity</w:t>
      </w:r>
    </w:p>
    <w:p>
      <w:pPr>
        <w:spacing w:after="120"/>
      </w:pPr>
      <w:r>
        <w:rPr>
          <w:rFonts w:ascii="Arial" w:cs="Arial" w:eastAsia="Arial" w:hAnsi="Arial"/>
          <w:sz w:val="22"/>
          <w:szCs w:val="22"/>
        </w:rPr>
        <w:t xml:space="preserve">All v1.0 operational guarantees (RTO 30 min, RPO 5 min, dual-region within India) are preserved verbatim. No DR procedure for the Indian region is degraded by the multi-region rework. US region procedures are additive and operate independently.</w:t>
      </w:r>
    </w:p>
    <w:p>
      <w:r>
        <w:br w:type="page"/>
      </w:r>
    </w:p>
    <w:p>
      <w:pPr>
        <w:pStyle w:val="Heading1"/>
        <w:spacing w:after="180" w:before="360"/>
      </w:pPr>
      <w:r>
        <w:rPr>
          <w:rFonts w:ascii="Arial" w:cs="Arial" w:eastAsia="Arial" w:hAnsi="Arial"/>
          <w:b/>
          <w:bCs/>
          <w:color w:val="1F4E79"/>
          <w:sz w:val="36"/>
          <w:szCs w:val="36"/>
        </w:rPr>
        <w:t xml:space="preserve">2. Operational Topology Reference</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gridCol w:w="100"/>
      </w:tblGrid>
      <w:tr>
        <w:trPr>
          <w:tblHeader/>
        </w:trPr>
        <w:tc>
          <w:tcPr>
            <w:tcW w:type="pct" w:w="16%"/>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Component</w:t>
            </w:r>
          </w:p>
        </w:tc>
        <w:tc>
          <w:tcPr>
            <w:tcW w:type="pct" w:w="2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IN Region</w:t>
            </w:r>
          </w:p>
        </w:tc>
        <w:tc>
          <w:tcPr>
            <w:tcW w:type="pct" w:w="2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IN DR</w:t>
            </w:r>
          </w:p>
        </w:tc>
        <w:tc>
          <w:tcPr>
            <w:tcW w:type="pct" w:w="2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US Region</w:t>
            </w:r>
          </w:p>
        </w:tc>
        <w:tc>
          <w:tcPr>
            <w:tcW w:type="pct" w:w="2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US DR</w:t>
            </w:r>
          </w:p>
        </w:tc>
      </w:tr>
      <w:tr>
        <w:tc>
          <w:tcPr>
            <w:tcW w:type="pct" w:w="16%"/>
            <w:tcMar>
              <w:top w:type="dxa" w:w="80"/>
              <w:left w:type="dxa" w:w="120"/>
              <w:bottom w:type="dxa" w:w="80"/>
              <w:right w:type="dxa" w:w="120"/>
            </w:tcMar>
            <w:vAlign w:val="top"/>
          </w:tcPr>
          <w:p>
            <w:pPr>
              <w:spacing w:after="0"/>
            </w:pPr>
            <w:r>
              <w:rPr>
                <w:rFonts w:ascii="Arial" w:cs="Arial" w:eastAsia="Arial" w:hAnsi="Arial"/>
                <w:sz w:val="20"/>
                <w:szCs w:val="20"/>
              </w:rPr>
              <w:t xml:space="preserve">App tier</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Azure Central India (3 zones)</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Azure South India (warm-standby)</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Azure East US 2 (3 zones)</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Azure West US 2 (warm-standby)</w:t>
            </w:r>
          </w:p>
        </w:tc>
      </w:tr>
      <w:tr>
        <w:tc>
          <w:tcPr>
            <w:tcW w:type="pct" w:w="16%"/>
            <w:tcMar>
              <w:top w:type="dxa" w:w="80"/>
              <w:left w:type="dxa" w:w="120"/>
              <w:bottom w:type="dxa" w:w="80"/>
              <w:right w:type="dxa" w:w="120"/>
            </w:tcMar>
            <w:vAlign w:val="top"/>
          </w:tcPr>
          <w:p>
            <w:pPr>
              <w:spacing w:after="0"/>
            </w:pPr>
            <w:r>
              <w:rPr>
                <w:rFonts w:ascii="Arial" w:cs="Arial" w:eastAsia="Arial" w:hAnsi="Arial"/>
                <w:sz w:val="20"/>
                <w:szCs w:val="20"/>
              </w:rPr>
              <w:t xml:space="preserve">MySQL primary</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Azure DB for MySQL Flexible Server, GA, ZRS</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Cross-region read replica + auto-failover</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Azure DB for MySQL Flexible Server, GA, ZRS</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Cross-region read replica + auto-failover</w:t>
            </w:r>
          </w:p>
        </w:tc>
      </w:tr>
      <w:tr>
        <w:tc>
          <w:tcPr>
            <w:tcW w:type="pct" w:w="16%"/>
            <w:tcMar>
              <w:top w:type="dxa" w:w="80"/>
              <w:left w:type="dxa" w:w="120"/>
              <w:bottom w:type="dxa" w:w="80"/>
              <w:right w:type="dxa" w:w="120"/>
            </w:tcMar>
            <w:vAlign w:val="top"/>
          </w:tcPr>
          <w:p>
            <w:pPr>
              <w:spacing w:after="0"/>
            </w:pPr>
            <w:r>
              <w:rPr>
                <w:rFonts w:ascii="Arial" w:cs="Arial" w:eastAsia="Arial" w:hAnsi="Arial"/>
                <w:sz w:val="20"/>
                <w:szCs w:val="20"/>
              </w:rPr>
              <w:t xml:space="preserve">Redis</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Azure Cache for Redis Premium, ZRS</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Geo-replicated</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Azure Cache for Redis Premium, ZRS</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Geo-replicated</w:t>
            </w:r>
          </w:p>
        </w:tc>
      </w:tr>
      <w:tr>
        <w:tc>
          <w:tcPr>
            <w:tcW w:type="pct" w:w="16%"/>
            <w:tcMar>
              <w:top w:type="dxa" w:w="80"/>
              <w:left w:type="dxa" w:w="120"/>
              <w:bottom w:type="dxa" w:w="80"/>
              <w:right w:type="dxa" w:w="120"/>
            </w:tcMar>
            <w:vAlign w:val="top"/>
          </w:tcPr>
          <w:p>
            <w:pPr>
              <w:spacing w:after="0"/>
            </w:pPr>
            <w:r>
              <w:rPr>
                <w:rFonts w:ascii="Arial" w:cs="Arial" w:eastAsia="Arial" w:hAnsi="Arial"/>
                <w:sz w:val="20"/>
                <w:szCs w:val="20"/>
              </w:rPr>
              <w:t xml:space="preserve">Object storage</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Azure Blob (GZRS)</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(GZRS pair)</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Azure Blob (GZRS)</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(GZRS pair)</w:t>
            </w:r>
          </w:p>
        </w:tc>
      </w:tr>
      <w:tr>
        <w:tc>
          <w:tcPr>
            <w:tcW w:type="pct" w:w="16%"/>
            <w:tcMar>
              <w:top w:type="dxa" w:w="80"/>
              <w:left w:type="dxa" w:w="120"/>
              <w:bottom w:type="dxa" w:w="80"/>
              <w:right w:type="dxa" w:w="120"/>
            </w:tcMar>
            <w:vAlign w:val="top"/>
          </w:tcPr>
          <w:p>
            <w:pPr>
              <w:spacing w:after="0"/>
            </w:pPr>
            <w:r>
              <w:rPr>
                <w:rFonts w:ascii="Arial" w:cs="Arial" w:eastAsia="Arial" w:hAnsi="Arial"/>
                <w:sz w:val="20"/>
                <w:szCs w:val="20"/>
              </w:rPr>
              <w:t xml:space="preserve">Service Bus / RabbitMQ</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Azure Service Bus Premium</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Geo-DR pairing</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Azure Service Bus Premium</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Geo-DR pairing</w:t>
            </w:r>
          </w:p>
        </w:tc>
      </w:tr>
      <w:tr>
        <w:tc>
          <w:tcPr>
            <w:tcW w:type="pct" w:w="16%"/>
            <w:tcMar>
              <w:top w:type="dxa" w:w="80"/>
              <w:left w:type="dxa" w:w="120"/>
              <w:bottom w:type="dxa" w:w="80"/>
              <w:right w:type="dxa" w:w="120"/>
            </w:tcMar>
            <w:vAlign w:val="top"/>
          </w:tcPr>
          <w:p>
            <w:pPr>
              <w:spacing w:after="0"/>
            </w:pPr>
            <w:r>
              <w:rPr>
                <w:rFonts w:ascii="Arial" w:cs="Arial" w:eastAsia="Arial" w:hAnsi="Arial"/>
                <w:sz w:val="20"/>
                <w:szCs w:val="20"/>
              </w:rPr>
              <w:t xml:space="preserve">Front Door</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Global (Azure Front Door Std/Premium)</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Same Front Door routes to DR backend on health probe failure</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Global</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Same Front Door</w:t>
            </w:r>
          </w:p>
        </w:tc>
      </w:tr>
      <w:tr>
        <w:tc>
          <w:tcPr>
            <w:tcW w:type="pct" w:w="16%"/>
            <w:tcMar>
              <w:top w:type="dxa" w:w="80"/>
              <w:left w:type="dxa" w:w="120"/>
              <w:bottom w:type="dxa" w:w="80"/>
              <w:right w:type="dxa" w:w="120"/>
            </w:tcMar>
            <w:vAlign w:val="top"/>
          </w:tcPr>
          <w:p>
            <w:pPr>
              <w:spacing w:after="0"/>
            </w:pPr>
            <w:r>
              <w:rPr>
                <w:rFonts w:ascii="Arial" w:cs="Arial" w:eastAsia="Arial" w:hAnsi="Arial"/>
                <w:sz w:val="20"/>
                <w:szCs w:val="20"/>
              </w:rPr>
              <w:t xml:space="preserve">Key Vault</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Central India (HSM-backed)</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Replicated to South India</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East US 2 (HSM-backed)</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Replicated to West US 2</w:t>
            </w:r>
          </w:p>
        </w:tc>
      </w:tr>
      <w:tr>
        <w:tc>
          <w:tcPr>
            <w:tcW w:type="pct" w:w="16%"/>
            <w:tcMar>
              <w:top w:type="dxa" w:w="80"/>
              <w:left w:type="dxa" w:w="120"/>
              <w:bottom w:type="dxa" w:w="80"/>
              <w:right w:type="dxa" w:w="120"/>
            </w:tcMar>
            <w:vAlign w:val="top"/>
          </w:tcPr>
          <w:p>
            <w:pPr>
              <w:spacing w:after="0"/>
            </w:pPr>
            <w:r>
              <w:rPr>
                <w:rFonts w:ascii="Arial" w:cs="Arial" w:eastAsia="Arial" w:hAnsi="Arial"/>
                <w:sz w:val="20"/>
                <w:szCs w:val="20"/>
              </w:rPr>
              <w:t xml:space="preserve">SIEM / logs</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Sentinel (India workspace)</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Same workspace (multi-zone)</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Sentinel (US workspace)</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Same workspace (multi-zone)</w:t>
            </w:r>
          </w:p>
        </w:tc>
      </w:tr>
    </w:tbl>
    <w:p>
      <w:r>
        <w:br w:type="page"/>
      </w:r>
    </w:p>
    <w:p>
      <w:pPr>
        <w:pStyle w:val="Heading1"/>
        <w:spacing w:after="180" w:before="360"/>
      </w:pPr>
      <w:r>
        <w:rPr>
          <w:rFonts w:ascii="Arial" w:cs="Arial" w:eastAsia="Arial" w:hAnsi="Arial"/>
          <w:b/>
          <w:bCs/>
          <w:color w:val="1F4E79"/>
          <w:sz w:val="36"/>
          <w:szCs w:val="36"/>
        </w:rPr>
        <w:t xml:space="preserve">3. SLOs &amp; Error Budgets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tblGrid>
      <w:tr>
        <w:trPr>
          <w:tblHeader/>
        </w:trPr>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SLO</w:t>
            </w:r>
          </w:p>
        </w:tc>
        <w:tc>
          <w:tcPr>
            <w:tcW w:type="pct" w:w="1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c>
          <w:tcPr>
            <w:tcW w:type="pct" w:w="2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Measurement Window</w:t>
            </w:r>
          </w:p>
        </w:tc>
        <w:tc>
          <w:tcPr>
            <w:tcW w:type="pct" w:w="3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Error Budget (per 30 days)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Availability (single region)</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99.9%</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30 days rolling</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~43 minutes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Availability (with DR)</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99.95%</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30 days rolling</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~21 minutes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p95 API latency</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&lt;= 500 ms</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30 days rolling</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5% of requests over budget</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Successful login rate</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&gt;= 99.5%</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30 days rolling</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0.5% failed (auth-related)</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Job success rate (Hangfire)</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&gt;= 99%</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30 days rolling</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1% retry-after-success allowed; &lt;0.1% terminal failures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DR drill cadence</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&gt;= 1 per quarter</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Quarterly</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0 misses tolerated</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3.1 Error Budget Policy</w:t>
      </w:r>
    </w:p>
    <w:p>
      <w:pPr>
        <w:pStyle w:val="ListParagraph"/>
        <w:numPr>
          <w:ilvl w:val="0"/>
          <w:numId w:val="2"/>
        </w:numPr>
        <w:spacing w:after="80"/>
      </w:pPr>
      <w:r>
        <w:rPr>
          <w:rFonts w:ascii="Arial" w:cs="Arial" w:eastAsia="Arial" w:hAnsi="Arial"/>
          <w:sz w:val="22"/>
          <w:szCs w:val="22"/>
        </w:rPr>
        <w:t xml:space="preserve">When error budget is healthy (&gt;50% remaining), shipping speed prioritised; risky changes allowed in staged rollouts.</w:t>
      </w:r>
    </w:p>
    <w:p>
      <w:pPr>
        <w:pStyle w:val="ListParagraph"/>
        <w:numPr>
          <w:ilvl w:val="0"/>
          <w:numId w:val="2"/>
        </w:numPr>
        <w:spacing w:after="80"/>
      </w:pPr>
      <w:r>
        <w:rPr>
          <w:rFonts w:ascii="Arial" w:cs="Arial" w:eastAsia="Arial" w:hAnsi="Arial"/>
          <w:sz w:val="22"/>
          <w:szCs w:val="22"/>
        </w:rPr>
        <w:t xml:space="preserve">When error budget is depleted (&lt;10% remaining for the month), feature releases freeze; only reliability work + critical bug fixes ship until next window.</w:t>
      </w:r>
    </w:p>
    <w:p>
      <w:pPr>
        <w:pStyle w:val="ListParagraph"/>
        <w:numPr>
          <w:ilvl w:val="0"/>
          <w:numId w:val="2"/>
        </w:numPr>
        <w:spacing w:after="80"/>
      </w:pPr>
      <w:r>
        <w:rPr>
          <w:rFonts w:ascii="Arial" w:cs="Arial" w:eastAsia="Arial" w:hAnsi="Arial"/>
          <w:sz w:val="22"/>
          <w:szCs w:val="22"/>
        </w:rPr>
        <w:t xml:space="preserve">Monthly SRE review confirms budget status and adjusts release cadence.</w:t>
      </w:r>
    </w:p>
    <w:p>
      <w:r>
        <w:br w:type="page"/>
      </w:r>
    </w:p>
    <w:p>
      <w:pPr>
        <w:pStyle w:val="Heading1"/>
        <w:spacing w:after="180" w:before="360"/>
      </w:pPr>
      <w:r>
        <w:rPr>
          <w:rFonts w:ascii="Arial" w:cs="Arial" w:eastAsia="Arial" w:hAnsi="Arial"/>
          <w:b/>
          <w:bCs/>
          <w:color w:val="1F4E79"/>
          <w:sz w:val="36"/>
          <w:szCs w:val="36"/>
        </w:rPr>
        <w:t xml:space="preserve">4. On-Call Roster &amp; Escalation</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gridCol w:w="100"/>
      </w:tblGrid>
      <w:tr>
        <w:trPr>
          <w:tblHeader/>
        </w:trPr>
        <w:tc>
          <w:tcPr>
            <w:tcW w:type="pct" w:w="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Tier</w:t>
            </w:r>
          </w:p>
        </w:tc>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Role</w:t>
            </w:r>
          </w:p>
        </w:tc>
        <w:tc>
          <w:tcPr>
            <w:tcW w:type="pct" w:w="2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IN Coverage</w:t>
            </w:r>
          </w:p>
        </w:tc>
        <w:tc>
          <w:tcPr>
            <w:tcW w:type="pct" w:w="2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US Coverage</w:t>
            </w:r>
          </w:p>
        </w:tc>
        <w:tc>
          <w:tcPr>
            <w:tcW w:type="pct" w:w="23%"/>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Page SLA</w:t>
            </w:r>
          </w:p>
        </w:tc>
      </w:tr>
      <w:tr>
        <w:tc>
          <w:tcPr>
            <w:tcW w:type="pct" w:w="8%"/>
            <w:tcMar>
              <w:top w:type="dxa" w:w="80"/>
              <w:left w:type="dxa" w:w="120"/>
              <w:bottom w:type="dxa" w:w="80"/>
              <w:right w:type="dxa" w:w="120"/>
            </w:tcMar>
            <w:vAlign w:val="top"/>
          </w:tcPr>
          <w:p>
            <w:pPr>
              <w:spacing w:after="0"/>
            </w:pPr>
            <w:r>
              <w:rPr>
                <w:rFonts w:ascii="Arial" w:cs="Arial" w:eastAsia="Arial" w:hAnsi="Arial"/>
                <w:sz w:val="20"/>
                <w:szCs w:val="20"/>
              </w:rPr>
              <w:t xml:space="preserve">L1</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NOC operator (24x7)</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24x7 monitoring console</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24x7 monitoring console</w:t>
            </w:r>
          </w:p>
        </w:tc>
        <w:tc>
          <w:tcPr>
            <w:tcW w:type="pct" w:w="23%"/>
            <w:tcMar>
              <w:top w:type="dxa" w:w="80"/>
              <w:left w:type="dxa" w:w="120"/>
              <w:bottom w:type="dxa" w:w="80"/>
              <w:right w:type="dxa" w:w="120"/>
            </w:tcMar>
            <w:vAlign w:val="top"/>
          </w:tcPr>
          <w:p>
            <w:pPr>
              <w:spacing w:after="0"/>
            </w:pPr>
            <w:r>
              <w:rPr>
                <w:rFonts w:ascii="Arial" w:cs="Arial" w:eastAsia="Arial" w:hAnsi="Arial"/>
                <w:sz w:val="20"/>
                <w:szCs w:val="20"/>
              </w:rPr>
              <w:t xml:space="preserve">Triage in 2 min</w:t>
            </w:r>
          </w:p>
        </w:tc>
      </w:tr>
      <w:tr>
        <w:tc>
          <w:tcPr>
            <w:tcW w:type="pct" w:w="8%"/>
            <w:tcMar>
              <w:top w:type="dxa" w:w="80"/>
              <w:left w:type="dxa" w:w="120"/>
              <w:bottom w:type="dxa" w:w="80"/>
              <w:right w:type="dxa" w:w="120"/>
            </w:tcMar>
            <w:vAlign w:val="top"/>
          </w:tcPr>
          <w:p>
            <w:pPr>
              <w:spacing w:after="0"/>
            </w:pPr>
            <w:r>
              <w:rPr>
                <w:rFonts w:ascii="Arial" w:cs="Arial" w:eastAsia="Arial" w:hAnsi="Arial"/>
                <w:sz w:val="20"/>
                <w:szCs w:val="20"/>
              </w:rPr>
              <w:t xml:space="preserve">L2</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On-call SRE</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Asia/Kolkata business + after-hours</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America/New_York business + after-hours</w:t>
            </w:r>
          </w:p>
        </w:tc>
        <w:tc>
          <w:tcPr>
            <w:tcW w:type="pct" w:w="23%"/>
            <w:tcMar>
              <w:top w:type="dxa" w:w="80"/>
              <w:left w:type="dxa" w:w="120"/>
              <w:bottom w:type="dxa" w:w="80"/>
              <w:right w:type="dxa" w:w="120"/>
            </w:tcMar>
            <w:vAlign w:val="top"/>
          </w:tcPr>
          <w:p>
            <w:pPr>
              <w:spacing w:after="0"/>
            </w:pPr>
            <w:r>
              <w:rPr>
                <w:rFonts w:ascii="Arial" w:cs="Arial" w:eastAsia="Arial" w:hAnsi="Arial"/>
                <w:sz w:val="20"/>
                <w:szCs w:val="20"/>
              </w:rPr>
              <w:t xml:space="preserve">Page in 5 min</w:t>
            </w:r>
          </w:p>
        </w:tc>
      </w:tr>
      <w:tr>
        <w:tc>
          <w:tcPr>
            <w:tcW w:type="pct" w:w="8%"/>
            <w:tcMar>
              <w:top w:type="dxa" w:w="80"/>
              <w:left w:type="dxa" w:w="120"/>
              <w:bottom w:type="dxa" w:w="80"/>
              <w:right w:type="dxa" w:w="120"/>
            </w:tcMar>
            <w:vAlign w:val="top"/>
          </w:tcPr>
          <w:p>
            <w:pPr>
              <w:spacing w:after="0"/>
            </w:pPr>
            <w:r>
              <w:rPr>
                <w:rFonts w:ascii="Arial" w:cs="Arial" w:eastAsia="Arial" w:hAnsi="Arial"/>
                <w:sz w:val="20"/>
                <w:szCs w:val="20"/>
              </w:rPr>
              <w:t xml:space="preserve">L3</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On-call engineer (per service area)</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Module specialist roster</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Module specialist roster</w:t>
            </w:r>
          </w:p>
        </w:tc>
        <w:tc>
          <w:tcPr>
            <w:tcW w:type="pct" w:w="23%"/>
            <w:tcMar>
              <w:top w:type="dxa" w:w="80"/>
              <w:left w:type="dxa" w:w="120"/>
              <w:bottom w:type="dxa" w:w="80"/>
              <w:right w:type="dxa" w:w="120"/>
            </w:tcMar>
            <w:vAlign w:val="top"/>
          </w:tcPr>
          <w:p>
            <w:pPr>
              <w:spacing w:after="0"/>
            </w:pPr>
            <w:r>
              <w:rPr>
                <w:rFonts w:ascii="Arial" w:cs="Arial" w:eastAsia="Arial" w:hAnsi="Arial"/>
                <w:sz w:val="20"/>
                <w:szCs w:val="20"/>
              </w:rPr>
              <w:t xml:space="preserve">Page in 10 min</w:t>
            </w:r>
          </w:p>
        </w:tc>
      </w:tr>
      <w:tr>
        <w:tc>
          <w:tcPr>
            <w:tcW w:type="pct" w:w="8%"/>
            <w:tcMar>
              <w:top w:type="dxa" w:w="80"/>
              <w:left w:type="dxa" w:w="120"/>
              <w:bottom w:type="dxa" w:w="80"/>
              <w:right w:type="dxa" w:w="120"/>
            </w:tcMar>
            <w:vAlign w:val="top"/>
          </w:tcPr>
          <w:p>
            <w:pPr>
              <w:spacing w:after="0"/>
            </w:pPr>
            <w:r>
              <w:rPr>
                <w:rFonts w:ascii="Arial" w:cs="Arial" w:eastAsia="Arial" w:hAnsi="Arial"/>
                <w:sz w:val="20"/>
                <w:szCs w:val="20"/>
              </w:rPr>
              <w:t xml:space="preserve">L4</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Tech Lead / Architect</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On-call rotation</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On-call rotation</w:t>
            </w:r>
          </w:p>
        </w:tc>
        <w:tc>
          <w:tcPr>
            <w:tcW w:type="pct" w:w="23%"/>
            <w:tcMar>
              <w:top w:type="dxa" w:w="80"/>
              <w:left w:type="dxa" w:w="120"/>
              <w:bottom w:type="dxa" w:w="80"/>
              <w:right w:type="dxa" w:w="120"/>
            </w:tcMar>
            <w:vAlign w:val="top"/>
          </w:tcPr>
          <w:p>
            <w:pPr>
              <w:spacing w:after="0"/>
            </w:pPr>
            <w:r>
              <w:rPr>
                <w:rFonts w:ascii="Arial" w:cs="Arial" w:eastAsia="Arial" w:hAnsi="Arial"/>
                <w:sz w:val="20"/>
                <w:szCs w:val="20"/>
              </w:rPr>
              <w:t xml:space="preserve">Page on SEV-1 only</w:t>
            </w:r>
          </w:p>
        </w:tc>
      </w:tr>
      <w:tr>
        <w:tc>
          <w:tcPr>
            <w:tcW w:type="pct" w:w="8%"/>
            <w:tcMar>
              <w:top w:type="dxa" w:w="80"/>
              <w:left w:type="dxa" w:w="120"/>
              <w:bottom w:type="dxa" w:w="80"/>
              <w:right w:type="dxa" w:w="120"/>
            </w:tcMar>
            <w:vAlign w:val="top"/>
          </w:tcPr>
          <w:p>
            <w:pPr>
              <w:spacing w:after="0"/>
            </w:pPr>
            <w:r>
              <w:rPr>
                <w:rFonts w:ascii="Arial" w:cs="Arial" w:eastAsia="Arial" w:hAnsi="Arial"/>
                <w:sz w:val="20"/>
                <w:szCs w:val="20"/>
              </w:rPr>
              <w:t xml:space="preserve">IC</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Incident Commander</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On-call rotation</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On-call rotation</w:t>
            </w:r>
          </w:p>
        </w:tc>
        <w:tc>
          <w:tcPr>
            <w:tcW w:type="pct" w:w="23%"/>
            <w:tcMar>
              <w:top w:type="dxa" w:w="80"/>
              <w:left w:type="dxa" w:w="120"/>
              <w:bottom w:type="dxa" w:w="80"/>
              <w:right w:type="dxa" w:w="120"/>
            </w:tcMar>
            <w:vAlign w:val="top"/>
          </w:tcPr>
          <w:p>
            <w:pPr>
              <w:spacing w:after="0"/>
            </w:pPr>
            <w:r>
              <w:rPr>
                <w:rFonts w:ascii="Arial" w:cs="Arial" w:eastAsia="Arial" w:hAnsi="Arial"/>
                <w:sz w:val="20"/>
                <w:szCs w:val="20"/>
              </w:rPr>
              <w:t xml:space="preserve">Convene on SEV-1/2</w:t>
            </w:r>
          </w:p>
        </w:tc>
      </w:tr>
      <w:tr>
        <w:tc>
          <w:tcPr>
            <w:tcW w:type="pct" w:w="8%"/>
            <w:tcMar>
              <w:top w:type="dxa" w:w="80"/>
              <w:left w:type="dxa" w:w="120"/>
              <w:bottom w:type="dxa" w:w="80"/>
              <w:right w:type="dxa" w:w="120"/>
            </w:tcMar>
            <w:vAlign w:val="top"/>
          </w:tcPr>
          <w:p>
            <w:pPr>
              <w:spacing w:after="0"/>
            </w:pPr>
            <w:r>
              <w:rPr>
                <w:rFonts w:ascii="Arial" w:cs="Arial" w:eastAsia="Arial" w:hAnsi="Arial"/>
                <w:sz w:val="20"/>
                <w:szCs w:val="20"/>
              </w:rPr>
              <w:t xml:space="preserve">Exec</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CTO / CISO</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On-call</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On-call</w:t>
            </w:r>
          </w:p>
        </w:tc>
        <w:tc>
          <w:tcPr>
            <w:tcW w:type="pct" w:w="23%"/>
            <w:tcMar>
              <w:top w:type="dxa" w:w="80"/>
              <w:left w:type="dxa" w:w="120"/>
              <w:bottom w:type="dxa" w:w="80"/>
              <w:right w:type="dxa" w:w="120"/>
            </w:tcMar>
            <w:vAlign w:val="top"/>
          </w:tcPr>
          <w:p>
            <w:pPr>
              <w:spacing w:after="0"/>
            </w:pPr>
            <w:r>
              <w:rPr>
                <w:rFonts w:ascii="Arial" w:cs="Arial" w:eastAsia="Arial" w:hAnsi="Arial"/>
                <w:sz w:val="20"/>
                <w:szCs w:val="20"/>
              </w:rPr>
              <w:t xml:space="preserve">Notified on SEV-1</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4.1 Page Triggers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5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Symptom</w:t>
            </w:r>
          </w:p>
        </w:tc>
        <w:tc>
          <w:tcPr>
            <w:tcW w:type="pct" w:w="2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Severity</w:t>
            </w:r>
          </w:p>
        </w:tc>
        <w:tc>
          <w:tcPr>
            <w:tcW w:type="pct" w:w="3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Auto-page?</w:t>
            </w:r>
          </w:p>
        </w:tc>
      </w:tr>
      <w:tr>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Region health probe fail (3 consecutive)</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SEV-1</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Yes → IC + L3 + L4</w:t>
            </w:r>
          </w:p>
        </w:tc>
      </w:tr>
      <w:tr>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p95 latency &gt; 2s for 5 min</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SEV-2</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Yes → L2</w:t>
            </w:r>
          </w:p>
        </w:tc>
      </w:tr>
      <w:tr>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Error rate &gt; 5% for 5 min</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SEV-2</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Yes → L2</w:t>
            </w:r>
          </w:p>
        </w:tc>
      </w:tr>
      <w:tr>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DB replica lag &gt; 60s for 10 min</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SEV-2</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Yes → L2 + DBA</w:t>
            </w:r>
          </w:p>
        </w:tc>
      </w:tr>
      <w:tr>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Failed Hangfire jobs &gt; 100/hour</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SEV-3</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Yes → L2 (best effort)</w:t>
            </w:r>
          </w:p>
        </w:tc>
      </w:tr>
      <w:tr>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Cert expiry within 14 days</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SEV-3</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Yes → DevOps</w:t>
            </w:r>
          </w:p>
        </w:tc>
      </w:tr>
      <w:tr>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Disk &gt; 80% full</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SEV-3</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Yes → DevOps</w:t>
            </w:r>
          </w:p>
        </w:tc>
      </w:tr>
      <w:tr>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Anomaly: cross-tenant query detected</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SEV-1 (security)</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Yes → IC + Security</w:t>
            </w:r>
          </w:p>
        </w:tc>
      </w:tr>
    </w:tbl>
    <w:p>
      <w:r>
        <w:br w:type="page"/>
      </w:r>
    </w:p>
    <w:p>
      <w:pPr>
        <w:pStyle w:val="Heading1"/>
        <w:spacing w:after="180" w:before="360"/>
      </w:pPr>
      <w:r>
        <w:rPr>
          <w:rFonts w:ascii="Arial" w:cs="Arial" w:eastAsia="Arial" w:hAnsi="Arial"/>
          <w:b/>
          <w:bCs/>
          <w:color w:val="1F4E79"/>
          <w:sz w:val="36"/>
          <w:szCs w:val="36"/>
        </w:rPr>
        <w:t xml:space="preserve">5. Region Failover — Planned</w:t>
      </w:r>
    </w:p>
    <w:p>
      <w:pPr>
        <w:spacing w:after="120"/>
      </w:pPr>
      <w:r>
        <w:rPr>
          <w:rFonts w:ascii="Arial" w:cs="Arial" w:eastAsia="Arial" w:hAnsi="Arial"/>
          <w:sz w:val="22"/>
          <w:szCs w:val="22"/>
        </w:rPr>
        <w:t xml:space="preserve">Used for region maintenance windows or DR drills. Coordinated, with prior notice. Target RTO 30 min; expected actual 10-15 min in drill conditions.</w:t>
      </w:r>
    </w:p>
    <w:p>
      <w:pPr>
        <w:spacing w:after="80"/>
      </w:pPr>
      <w:r>
        <w:t xml:space="preserve"/>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tblGrid>
      <w:tr>
        <w:trPr>
          <w:tblHeader/>
        </w:trPr>
        <w:tc>
          <w:tcPr>
            <w:tcW w:type="pct" w:w="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Step</w:t>
            </w:r>
          </w:p>
        </w:tc>
        <w:tc>
          <w:tcPr>
            <w:tcW w:type="pct" w:w="5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Action</w:t>
            </w:r>
          </w:p>
        </w:tc>
        <w:tc>
          <w:tcPr>
            <w:tcW w:type="pct" w:w="2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Owner</w:t>
            </w:r>
          </w:p>
        </w:tc>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Approx. Time</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1</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Announce maintenance window via status page; client comms 7 days prior</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Comms + PM</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T-7 days</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2</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Confirm DR replica lag &lt; 5s and storage replication current</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DBA</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T-1 hour</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3</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Quiesce: drain queues, finish in-flight jobs (Hangfire), reject long-running new requests</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DevOps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T-15 min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4</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Promote DR MySQL to primary; original primary becomes replica</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DBA</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T-5 min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5</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Promote DR Redis; promote DR Service Bus to active</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DevOps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T-3 min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6</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Update Front Door backend pool to point at DR app tier (already running warm)</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DevOps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T-2 min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7</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Smoke-test critical paths (login, dashboard, one transaction per region)</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QA + SRE</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T+5 min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8</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Update status page; notify clients of completion</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Comms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T+10 min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9</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Schedule failback once original region is healthy</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IC</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T+1 hour</w:t>
            </w:r>
          </w:p>
        </w:tc>
      </w:tr>
    </w:tbl>
    <w:p>
      <w:r>
        <w:br w:type="page"/>
      </w:r>
    </w:p>
    <w:p>
      <w:pPr>
        <w:pStyle w:val="Heading1"/>
        <w:spacing w:after="180" w:before="360"/>
      </w:pPr>
      <w:r>
        <w:rPr>
          <w:rFonts w:ascii="Arial" w:cs="Arial" w:eastAsia="Arial" w:hAnsi="Arial"/>
          <w:b/>
          <w:bCs/>
          <w:color w:val="1F4E79"/>
          <w:sz w:val="36"/>
          <w:szCs w:val="36"/>
        </w:rPr>
        <w:t xml:space="preserve">6. Region Failover — Unplanned (Disaster)</w:t>
      </w:r>
    </w:p>
    <w:p>
      <w:pPr>
        <w:spacing w:after="120"/>
      </w:pPr>
      <w:r>
        <w:rPr>
          <w:rFonts w:ascii="Arial" w:cs="Arial" w:eastAsia="Arial" w:hAnsi="Arial"/>
          <w:sz w:val="22"/>
          <w:szCs w:val="22"/>
        </w:rPr>
        <w:t xml:space="preserve">Used when the primary region is unreachable or significantly degraded. Goal: restore service from DR within RTO 30 min. RPO target: &lt;= 5 min.</w:t>
      </w:r>
    </w:p>
    <w:p>
      <w:pPr>
        <w:spacing w:after="80"/>
      </w:pPr>
      <w:r>
        <w:t xml:space="preserve"/>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tblGrid>
      <w:tr>
        <w:trPr>
          <w:tblHeader/>
        </w:trPr>
        <w:tc>
          <w:tcPr>
            <w:tcW w:type="pct" w:w="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Step</w:t>
            </w:r>
          </w:p>
        </w:tc>
        <w:tc>
          <w:tcPr>
            <w:tcW w:type="pct" w:w="5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Action</w:t>
            </w:r>
          </w:p>
        </w:tc>
        <w:tc>
          <w:tcPr>
            <w:tcW w:type="pct" w:w="2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Owner</w:t>
            </w:r>
          </w:p>
        </w:tc>
        <w:tc>
          <w:tcPr>
            <w:tcW w:type="pct" w:w="2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SLA</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D-0</w:t>
            </w:r>
          </w:p>
        </w:tc>
        <w:tc>
          <w:tcPr>
            <w:tcW w:type="pct" w:w="55%"/>
            <w:tcMar>
              <w:top w:type="dxa" w:w="80"/>
              <w:left w:type="dxa" w:w="120"/>
              <w:bottom w:type="dxa" w:w="80"/>
              <w:right w:type="dxa" w:w="120"/>
            </w:tcMar>
            <w:vAlign w:val="top"/>
          </w:tcPr>
          <w:p>
            <w:pPr>
              <w:spacing w:after="0"/>
            </w:pPr>
            <w:r>
              <w:rPr>
                <w:rFonts w:ascii="Arial" w:cs="Arial" w:eastAsia="Arial" w:hAnsi="Arial"/>
                <w:sz w:val="20"/>
                <w:szCs w:val="20"/>
              </w:rPr>
              <w:t xml:space="preserve">Page on-call: SEV-1 declared by NOC if region health probe fails 3x</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NOC → IC</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&lt; 5 min from detection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D-1</w:t>
            </w:r>
          </w:p>
        </w:tc>
        <w:tc>
          <w:tcPr>
            <w:tcW w:type="pct" w:w="55%"/>
            <w:tcMar>
              <w:top w:type="dxa" w:w="80"/>
              <w:left w:type="dxa" w:w="120"/>
              <w:bottom w:type="dxa" w:w="80"/>
              <w:right w:type="dxa" w:w="120"/>
            </w:tcMar>
            <w:vAlign w:val="top"/>
          </w:tcPr>
          <w:p>
            <w:pPr>
              <w:spacing w:after="0"/>
            </w:pPr>
            <w:r>
              <w:rPr>
                <w:rFonts w:ascii="Arial" w:cs="Arial" w:eastAsia="Arial" w:hAnsi="Arial"/>
                <w:sz w:val="20"/>
                <w:szCs w:val="20"/>
              </w:rPr>
              <w:t xml:space="preserve">IC convenes war room (Teams bridge); SREs join, exec notified</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IC</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&lt; 10 min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D-2</w:t>
            </w:r>
          </w:p>
        </w:tc>
        <w:tc>
          <w:tcPr>
            <w:tcW w:type="pct" w:w="55%"/>
            <w:tcMar>
              <w:top w:type="dxa" w:w="80"/>
              <w:left w:type="dxa" w:w="120"/>
              <w:bottom w:type="dxa" w:w="80"/>
              <w:right w:type="dxa" w:w="120"/>
            </w:tcMar>
            <w:vAlign w:val="top"/>
          </w:tcPr>
          <w:p>
            <w:pPr>
              <w:spacing w:after="0"/>
            </w:pPr>
            <w:r>
              <w:rPr>
                <w:rFonts w:ascii="Arial" w:cs="Arial" w:eastAsia="Arial" w:hAnsi="Arial"/>
                <w:sz w:val="20"/>
                <w:szCs w:val="20"/>
              </w:rPr>
              <w:t xml:space="preserve">Confirm region is unrecoverable (Azure status, support ticket)</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SRE Lead</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&lt; 15 min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D-3</w:t>
            </w:r>
          </w:p>
        </w:tc>
        <w:tc>
          <w:tcPr>
            <w:tcW w:type="pct" w:w="55%"/>
            <w:tcMar>
              <w:top w:type="dxa" w:w="80"/>
              <w:left w:type="dxa" w:w="120"/>
              <w:bottom w:type="dxa" w:w="80"/>
              <w:right w:type="dxa" w:w="120"/>
            </w:tcMar>
            <w:vAlign w:val="top"/>
          </w:tcPr>
          <w:p>
            <w:pPr>
              <w:spacing w:after="0"/>
            </w:pPr>
            <w:r>
              <w:rPr>
                <w:rFonts w:ascii="Arial" w:cs="Arial" w:eastAsia="Arial" w:hAnsi="Arial"/>
                <w:sz w:val="20"/>
                <w:szCs w:val="20"/>
              </w:rPr>
              <w:t xml:space="preserve">Decision: failover authorised by SRE Lead + Tech Lead (two-person rule)</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SRE Lead + Tech Lead</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&lt; 18 min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D-4</w:t>
            </w:r>
          </w:p>
        </w:tc>
        <w:tc>
          <w:tcPr>
            <w:tcW w:type="pct" w:w="55%"/>
            <w:tcMar>
              <w:top w:type="dxa" w:w="80"/>
              <w:left w:type="dxa" w:w="120"/>
              <w:bottom w:type="dxa" w:w="80"/>
              <w:right w:type="dxa" w:w="120"/>
            </w:tcMar>
            <w:vAlign w:val="top"/>
          </w:tcPr>
          <w:p>
            <w:pPr>
              <w:spacing w:after="0"/>
            </w:pPr>
            <w:r>
              <w:rPr>
                <w:rFonts w:ascii="Arial" w:cs="Arial" w:eastAsia="Arial" w:hAnsi="Arial"/>
                <w:sz w:val="20"/>
                <w:szCs w:val="20"/>
              </w:rPr>
              <w:t xml:space="preserve">Promote DR MySQL: stop replica, promote, update DNS/Front Door</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DBA</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&lt; 23 min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D-5</w:t>
            </w:r>
          </w:p>
        </w:tc>
        <w:tc>
          <w:tcPr>
            <w:tcW w:type="pct" w:w="55%"/>
            <w:tcMar>
              <w:top w:type="dxa" w:w="80"/>
              <w:left w:type="dxa" w:w="120"/>
              <w:bottom w:type="dxa" w:w="80"/>
              <w:right w:type="dxa" w:w="120"/>
            </w:tcMar>
            <w:vAlign w:val="top"/>
          </w:tcPr>
          <w:p>
            <w:pPr>
              <w:spacing w:after="0"/>
            </w:pPr>
            <w:r>
              <w:rPr>
                <w:rFonts w:ascii="Arial" w:cs="Arial" w:eastAsia="Arial" w:hAnsi="Arial"/>
                <w:sz w:val="20"/>
                <w:szCs w:val="20"/>
              </w:rPr>
              <w:t xml:space="preserve">Promote DR Redis + Service Bus; flip Front Door backend pool</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DevOps</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&lt; 25 min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D-6</w:t>
            </w:r>
          </w:p>
        </w:tc>
        <w:tc>
          <w:tcPr>
            <w:tcW w:type="pct" w:w="55%"/>
            <w:tcMar>
              <w:top w:type="dxa" w:w="80"/>
              <w:left w:type="dxa" w:w="120"/>
              <w:bottom w:type="dxa" w:w="80"/>
              <w:right w:type="dxa" w:w="120"/>
            </w:tcMar>
            <w:vAlign w:val="top"/>
          </w:tcPr>
          <w:p>
            <w:pPr>
              <w:spacing w:after="0"/>
            </w:pPr>
            <w:r>
              <w:rPr>
                <w:rFonts w:ascii="Arial" w:cs="Arial" w:eastAsia="Arial" w:hAnsi="Arial"/>
                <w:sz w:val="20"/>
                <w:szCs w:val="20"/>
              </w:rPr>
              <w:t xml:space="preserve">Confirm app tier in DR is healthy and serving (synthetic monitor)</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SRE</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&lt; 28 min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D-7</w:t>
            </w:r>
          </w:p>
        </w:tc>
        <w:tc>
          <w:tcPr>
            <w:tcW w:type="pct" w:w="55%"/>
            <w:tcMar>
              <w:top w:type="dxa" w:w="80"/>
              <w:left w:type="dxa" w:w="120"/>
              <w:bottom w:type="dxa" w:w="80"/>
              <w:right w:type="dxa" w:w="120"/>
            </w:tcMar>
            <w:vAlign w:val="top"/>
          </w:tcPr>
          <w:p>
            <w:pPr>
              <w:spacing w:after="0"/>
            </w:pPr>
            <w:r>
              <w:rPr>
                <w:rFonts w:ascii="Arial" w:cs="Arial" w:eastAsia="Arial" w:hAnsi="Arial"/>
                <w:sz w:val="20"/>
                <w:szCs w:val="20"/>
              </w:rPr>
              <w:t xml:space="preserve">Smoke test critical paths against DR</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QA + SRE</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&lt; 30 min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D-8</w:t>
            </w:r>
          </w:p>
        </w:tc>
        <w:tc>
          <w:tcPr>
            <w:tcW w:type="pct" w:w="55%"/>
            <w:tcMar>
              <w:top w:type="dxa" w:w="80"/>
              <w:left w:type="dxa" w:w="120"/>
              <w:bottom w:type="dxa" w:w="80"/>
              <w:right w:type="dxa" w:w="120"/>
            </w:tcMar>
            <w:vAlign w:val="top"/>
          </w:tcPr>
          <w:p>
            <w:pPr>
              <w:spacing w:after="0"/>
            </w:pPr>
            <w:r>
              <w:rPr>
                <w:rFonts w:ascii="Arial" w:cs="Arial" w:eastAsia="Arial" w:hAnsi="Arial"/>
                <w:sz w:val="20"/>
                <w:szCs w:val="20"/>
              </w:rPr>
              <w:t xml:space="preserve">Status page update; client notification (per DPA)</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Comms + Legal</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&lt;= 60 min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D-9</w:t>
            </w:r>
          </w:p>
        </w:tc>
        <w:tc>
          <w:tcPr>
            <w:tcW w:type="pct" w:w="55%"/>
            <w:tcMar>
              <w:top w:type="dxa" w:w="80"/>
              <w:left w:type="dxa" w:w="120"/>
              <w:bottom w:type="dxa" w:w="80"/>
              <w:right w:type="dxa" w:w="120"/>
            </w:tcMar>
            <w:vAlign w:val="top"/>
          </w:tcPr>
          <w:p>
            <w:pPr>
              <w:spacing w:after="0"/>
            </w:pPr>
            <w:r>
              <w:rPr>
                <w:rFonts w:ascii="Arial" w:cs="Arial" w:eastAsia="Arial" w:hAnsi="Arial"/>
                <w:sz w:val="20"/>
                <w:szCs w:val="20"/>
              </w:rPr>
              <w:t xml:space="preserve">Begin assessment of original region for failback</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SRE Lead</w:t>
            </w:r>
          </w:p>
        </w:tc>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Continuous</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6.1 Data Loss Assessment</w:t>
      </w:r>
    </w:p>
    <w:p>
      <w:pPr>
        <w:spacing w:after="120"/>
      </w:pPr>
      <w:r>
        <w:rPr>
          <w:rFonts w:ascii="Arial" w:cs="Arial" w:eastAsia="Arial" w:hAnsi="Arial"/>
          <w:sz w:val="22"/>
          <w:szCs w:val="22"/>
        </w:rPr>
        <w:t xml:space="preserve">After unplanned failover, the SRE team measures actual RPO by comparing the latest committed transaction in DR to the last known transaction in the lost primary (if available). Any transactions lost are listed in the post-incident review and, where customer-facing, communicated to affected tenants within 72 hours.</w:t>
      </w:r>
    </w:p>
    <w:p>
      <w:r>
        <w:br w:type="page"/>
      </w:r>
    </w:p>
    <w:p>
      <w:pPr>
        <w:pStyle w:val="Heading1"/>
        <w:spacing w:after="180" w:before="360"/>
      </w:pPr>
      <w:r>
        <w:rPr>
          <w:rFonts w:ascii="Arial" w:cs="Arial" w:eastAsia="Arial" w:hAnsi="Arial"/>
          <w:b/>
          <w:bCs/>
          <w:color w:val="1F4E79"/>
          <w:sz w:val="36"/>
          <w:szCs w:val="36"/>
        </w:rPr>
        <w:t xml:space="preserve">7. Failback Procedure</w:t>
      </w:r>
    </w:p>
    <w:p>
      <w:pPr>
        <w:spacing w:after="120"/>
      </w:pPr>
      <w:r>
        <w:rPr>
          <w:rFonts w:ascii="Arial" w:cs="Arial" w:eastAsia="Arial" w:hAnsi="Arial"/>
          <w:sz w:val="22"/>
          <w:szCs w:val="22"/>
        </w:rPr>
        <w:t xml:space="preserve">After a failover, the original region must be returned to primary status when stable. This is a lower-pressure planned procedure.</w:t>
      </w:r>
    </w:p>
    <w:p>
      <w:pPr>
        <w:spacing w:after="80"/>
      </w:pPr>
      <w:r>
        <w:t xml:space="preserve"/>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Step</w:t>
            </w:r>
          </w:p>
        </w:tc>
        <w:tc>
          <w:tcPr>
            <w:tcW w:type="pct" w:w="67%"/>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Action</w:t>
            </w:r>
          </w:p>
        </w:tc>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Owner</w:t>
            </w:r>
          </w:p>
        </w:tc>
      </w:tr>
      <w:tr>
        <w:tc>
          <w:tcPr>
            <w:tcW w:type="pct" w:w="8%"/>
            <w:tcMar>
              <w:top w:type="dxa" w:w="80"/>
              <w:left w:type="dxa" w:w="120"/>
              <w:bottom w:type="dxa" w:w="80"/>
              <w:right w:type="dxa" w:w="120"/>
            </w:tcMar>
            <w:vAlign w:val="top"/>
          </w:tcPr>
          <w:p>
            <w:pPr>
              <w:spacing w:after="0"/>
            </w:pPr>
            <w:r>
              <w:rPr>
                <w:rFonts w:ascii="Arial" w:cs="Arial" w:eastAsia="Arial" w:hAnsi="Arial"/>
                <w:sz w:val="20"/>
                <w:szCs w:val="20"/>
              </w:rPr>
              <w:t xml:space="preserve">F-1</w:t>
            </w:r>
          </w:p>
        </w:tc>
        <w:tc>
          <w:tcPr>
            <w:tcW w:type="pct" w:w="67%"/>
            <w:tcMar>
              <w:top w:type="dxa" w:w="80"/>
              <w:left w:type="dxa" w:w="120"/>
              <w:bottom w:type="dxa" w:w="80"/>
              <w:right w:type="dxa" w:w="120"/>
            </w:tcMar>
            <w:vAlign w:val="top"/>
          </w:tcPr>
          <w:p>
            <w:pPr>
              <w:spacing w:after="0"/>
            </w:pPr>
            <w:r>
              <w:rPr>
                <w:rFonts w:ascii="Arial" w:cs="Arial" w:eastAsia="Arial" w:hAnsi="Arial"/>
                <w:sz w:val="20"/>
                <w:szCs w:val="20"/>
              </w:rPr>
              <w:t xml:space="preserve">Validate original region is healthy (24-48h soak as DR replica)</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SRE Lead</w:t>
            </w:r>
          </w:p>
        </w:tc>
      </w:tr>
      <w:tr>
        <w:tc>
          <w:tcPr>
            <w:tcW w:type="pct" w:w="8%"/>
            <w:tcMar>
              <w:top w:type="dxa" w:w="80"/>
              <w:left w:type="dxa" w:w="120"/>
              <w:bottom w:type="dxa" w:w="80"/>
              <w:right w:type="dxa" w:w="120"/>
            </w:tcMar>
            <w:vAlign w:val="top"/>
          </w:tcPr>
          <w:p>
            <w:pPr>
              <w:spacing w:after="0"/>
            </w:pPr>
            <w:r>
              <w:rPr>
                <w:rFonts w:ascii="Arial" w:cs="Arial" w:eastAsia="Arial" w:hAnsi="Arial"/>
                <w:sz w:val="20"/>
                <w:szCs w:val="20"/>
              </w:rPr>
              <w:t xml:space="preserve">F-2</w:t>
            </w:r>
          </w:p>
        </w:tc>
        <w:tc>
          <w:tcPr>
            <w:tcW w:type="pct" w:w="67%"/>
            <w:tcMar>
              <w:top w:type="dxa" w:w="80"/>
              <w:left w:type="dxa" w:w="120"/>
              <w:bottom w:type="dxa" w:w="80"/>
              <w:right w:type="dxa" w:w="120"/>
            </w:tcMar>
            <w:vAlign w:val="top"/>
          </w:tcPr>
          <w:p>
            <w:pPr>
              <w:spacing w:after="0"/>
            </w:pPr>
            <w:r>
              <w:rPr>
                <w:rFonts w:ascii="Arial" w:cs="Arial" w:eastAsia="Arial" w:hAnsi="Arial"/>
                <w:sz w:val="20"/>
                <w:szCs w:val="20"/>
              </w:rPr>
              <w:t xml:space="preserve">Schedule failback maintenance window with client notice</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PM + Comms</w:t>
            </w:r>
          </w:p>
        </w:tc>
      </w:tr>
      <w:tr>
        <w:tc>
          <w:tcPr>
            <w:tcW w:type="pct" w:w="8%"/>
            <w:tcMar>
              <w:top w:type="dxa" w:w="80"/>
              <w:left w:type="dxa" w:w="120"/>
              <w:bottom w:type="dxa" w:w="80"/>
              <w:right w:type="dxa" w:w="120"/>
            </w:tcMar>
            <w:vAlign w:val="top"/>
          </w:tcPr>
          <w:p>
            <w:pPr>
              <w:spacing w:after="0"/>
            </w:pPr>
            <w:r>
              <w:rPr>
                <w:rFonts w:ascii="Arial" w:cs="Arial" w:eastAsia="Arial" w:hAnsi="Arial"/>
                <w:sz w:val="20"/>
                <w:szCs w:val="20"/>
              </w:rPr>
              <w:t xml:space="preserve">F-3</w:t>
            </w:r>
          </w:p>
        </w:tc>
        <w:tc>
          <w:tcPr>
            <w:tcW w:type="pct" w:w="67%"/>
            <w:tcMar>
              <w:top w:type="dxa" w:w="80"/>
              <w:left w:type="dxa" w:w="120"/>
              <w:bottom w:type="dxa" w:w="80"/>
              <w:right w:type="dxa" w:w="120"/>
            </w:tcMar>
            <w:vAlign w:val="top"/>
          </w:tcPr>
          <w:p>
            <w:pPr>
              <w:spacing w:after="0"/>
            </w:pPr>
            <w:r>
              <w:rPr>
                <w:rFonts w:ascii="Arial" w:cs="Arial" w:eastAsia="Arial" w:hAnsi="Arial"/>
                <w:sz w:val="20"/>
                <w:szCs w:val="20"/>
              </w:rPr>
              <w:t xml:space="preserve">Catch up replica fully (no lag for 1 hour)</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DBA</w:t>
            </w:r>
          </w:p>
        </w:tc>
      </w:tr>
      <w:tr>
        <w:tc>
          <w:tcPr>
            <w:tcW w:type="pct" w:w="8%"/>
            <w:tcMar>
              <w:top w:type="dxa" w:w="80"/>
              <w:left w:type="dxa" w:w="120"/>
              <w:bottom w:type="dxa" w:w="80"/>
              <w:right w:type="dxa" w:w="120"/>
            </w:tcMar>
            <w:vAlign w:val="top"/>
          </w:tcPr>
          <w:p>
            <w:pPr>
              <w:spacing w:after="0"/>
            </w:pPr>
            <w:r>
              <w:rPr>
                <w:rFonts w:ascii="Arial" w:cs="Arial" w:eastAsia="Arial" w:hAnsi="Arial"/>
                <w:sz w:val="20"/>
                <w:szCs w:val="20"/>
              </w:rPr>
              <w:t xml:space="preserve">F-4</w:t>
            </w:r>
          </w:p>
        </w:tc>
        <w:tc>
          <w:tcPr>
            <w:tcW w:type="pct" w:w="67%"/>
            <w:tcMar>
              <w:top w:type="dxa" w:w="80"/>
              <w:left w:type="dxa" w:w="120"/>
              <w:bottom w:type="dxa" w:w="80"/>
              <w:right w:type="dxa" w:w="120"/>
            </w:tcMar>
            <w:vAlign w:val="top"/>
          </w:tcPr>
          <w:p>
            <w:pPr>
              <w:spacing w:after="0"/>
            </w:pPr>
            <w:r>
              <w:rPr>
                <w:rFonts w:ascii="Arial" w:cs="Arial" w:eastAsia="Arial" w:hAnsi="Arial"/>
                <w:sz w:val="20"/>
                <w:szCs w:val="20"/>
              </w:rPr>
              <w:t xml:space="preserve">Execute planned failover steps (§5) in reverse direction</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DBA + DevOps</w:t>
            </w:r>
          </w:p>
        </w:tc>
      </w:tr>
      <w:tr>
        <w:tc>
          <w:tcPr>
            <w:tcW w:type="pct" w:w="8%"/>
            <w:tcMar>
              <w:top w:type="dxa" w:w="80"/>
              <w:left w:type="dxa" w:w="120"/>
              <w:bottom w:type="dxa" w:w="80"/>
              <w:right w:type="dxa" w:w="120"/>
            </w:tcMar>
            <w:vAlign w:val="top"/>
          </w:tcPr>
          <w:p>
            <w:pPr>
              <w:spacing w:after="0"/>
            </w:pPr>
            <w:r>
              <w:rPr>
                <w:rFonts w:ascii="Arial" w:cs="Arial" w:eastAsia="Arial" w:hAnsi="Arial"/>
                <w:sz w:val="20"/>
                <w:szCs w:val="20"/>
              </w:rPr>
              <w:t xml:space="preserve">F-5</w:t>
            </w:r>
          </w:p>
        </w:tc>
        <w:tc>
          <w:tcPr>
            <w:tcW w:type="pct" w:w="67%"/>
            <w:tcMar>
              <w:top w:type="dxa" w:w="80"/>
              <w:left w:type="dxa" w:w="120"/>
              <w:bottom w:type="dxa" w:w="80"/>
              <w:right w:type="dxa" w:w="120"/>
            </w:tcMar>
            <w:vAlign w:val="top"/>
          </w:tcPr>
          <w:p>
            <w:pPr>
              <w:spacing w:after="0"/>
            </w:pPr>
            <w:r>
              <w:rPr>
                <w:rFonts w:ascii="Arial" w:cs="Arial" w:eastAsia="Arial" w:hAnsi="Arial"/>
                <w:sz w:val="20"/>
                <w:szCs w:val="20"/>
              </w:rPr>
              <w:t xml:space="preserve">Post-failback validation: full smoke pack</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QA</w:t>
            </w:r>
          </w:p>
        </w:tc>
      </w:tr>
      <w:tr>
        <w:tc>
          <w:tcPr>
            <w:tcW w:type="pct" w:w="8%"/>
            <w:tcMar>
              <w:top w:type="dxa" w:w="80"/>
              <w:left w:type="dxa" w:w="120"/>
              <w:bottom w:type="dxa" w:w="80"/>
              <w:right w:type="dxa" w:w="120"/>
            </w:tcMar>
            <w:vAlign w:val="top"/>
          </w:tcPr>
          <w:p>
            <w:pPr>
              <w:spacing w:after="0"/>
            </w:pPr>
            <w:r>
              <w:rPr>
                <w:rFonts w:ascii="Arial" w:cs="Arial" w:eastAsia="Arial" w:hAnsi="Arial"/>
                <w:sz w:val="20"/>
                <w:szCs w:val="20"/>
              </w:rPr>
              <w:t xml:space="preserve">F-6</w:t>
            </w:r>
          </w:p>
        </w:tc>
        <w:tc>
          <w:tcPr>
            <w:tcW w:type="pct" w:w="67%"/>
            <w:tcMar>
              <w:top w:type="dxa" w:w="80"/>
              <w:left w:type="dxa" w:w="120"/>
              <w:bottom w:type="dxa" w:w="80"/>
              <w:right w:type="dxa" w:w="120"/>
            </w:tcMar>
            <w:vAlign w:val="top"/>
          </w:tcPr>
          <w:p>
            <w:pPr>
              <w:spacing w:after="0"/>
            </w:pPr>
            <w:r>
              <w:rPr>
                <w:rFonts w:ascii="Arial" w:cs="Arial" w:eastAsia="Arial" w:hAnsi="Arial"/>
                <w:sz w:val="20"/>
                <w:szCs w:val="20"/>
              </w:rPr>
              <w:t xml:space="preserve">Schedule post-incident review (PIR) within 5 business days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IC</w:t>
            </w:r>
          </w:p>
        </w:tc>
      </w:tr>
    </w:tbl>
    <w:p>
      <w:r>
        <w:br w:type="page"/>
      </w:r>
    </w:p>
    <w:p>
      <w:pPr>
        <w:pStyle w:val="Heading1"/>
        <w:spacing w:after="180" w:before="360"/>
      </w:pPr>
      <w:r>
        <w:rPr>
          <w:rFonts w:ascii="Arial" w:cs="Arial" w:eastAsia="Arial" w:hAnsi="Arial"/>
          <w:b/>
          <w:bCs/>
          <w:color w:val="1F4E79"/>
          <w:sz w:val="36"/>
          <w:szCs w:val="36"/>
        </w:rPr>
        <w:t xml:space="preserve">8. DR Drill Cadence</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tblGrid>
      <w:tr>
        <w:trPr>
          <w:tblHeader/>
        </w:trPr>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Drill Type</w:t>
            </w:r>
          </w:p>
        </w:tc>
        <w:tc>
          <w:tcPr>
            <w:tcW w:type="pct" w:w="14%"/>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Frequency</w:t>
            </w:r>
          </w:p>
        </w:tc>
        <w:tc>
          <w:tcPr>
            <w:tcW w:type="pct" w:w="3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Scope</w:t>
            </w:r>
          </w:p>
        </w:tc>
        <w:tc>
          <w:tcPr>
            <w:tcW w:type="pct" w:w="26%"/>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Success Criteria</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Full unplanned region failover (game-day)</w:t>
            </w:r>
          </w:p>
        </w:tc>
        <w:tc>
          <w:tcPr>
            <w:tcW w:type="pct" w:w="14%"/>
            <w:tcMar>
              <w:top w:type="dxa" w:w="80"/>
              <w:left w:type="dxa" w:w="120"/>
              <w:bottom w:type="dxa" w:w="80"/>
              <w:right w:type="dxa" w:w="120"/>
            </w:tcMar>
            <w:vAlign w:val="top"/>
          </w:tcPr>
          <w:p>
            <w:pPr>
              <w:spacing w:after="0"/>
            </w:pPr>
            <w:r>
              <w:rPr>
                <w:rFonts w:ascii="Arial" w:cs="Arial" w:eastAsia="Arial" w:hAnsi="Arial"/>
                <w:sz w:val="20"/>
                <w:szCs w:val="20"/>
              </w:rPr>
              <w:t xml:space="preserve">Quarterly</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Either IN or US, alternating; full data plane + traffic shift</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RTO &lt;= 30 min, RPO &lt;= 5 min, no client visible data loss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Planned region failover</w:t>
            </w:r>
          </w:p>
        </w:tc>
        <w:tc>
          <w:tcPr>
            <w:tcW w:type="pct" w:w="14%"/>
            <w:tcMar>
              <w:top w:type="dxa" w:w="80"/>
              <w:left w:type="dxa" w:w="120"/>
              <w:bottom w:type="dxa" w:w="80"/>
              <w:right w:type="dxa" w:w="120"/>
            </w:tcMar>
            <w:vAlign w:val="top"/>
          </w:tcPr>
          <w:p>
            <w:pPr>
              <w:spacing w:after="0"/>
            </w:pPr>
            <w:r>
              <w:rPr>
                <w:rFonts w:ascii="Arial" w:cs="Arial" w:eastAsia="Arial" w:hAnsi="Arial"/>
                <w:sz w:val="20"/>
                <w:szCs w:val="20"/>
              </w:rPr>
              <w:t xml:space="preserve">Bi-annually</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Both regions in same year</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Successful in &lt;= 20 min; no client impact reported</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DB-only failover</w:t>
            </w:r>
          </w:p>
        </w:tc>
        <w:tc>
          <w:tcPr>
            <w:tcW w:type="pct" w:w="14%"/>
            <w:tcMar>
              <w:top w:type="dxa" w:w="80"/>
              <w:left w:type="dxa" w:w="120"/>
              <w:bottom w:type="dxa" w:w="80"/>
              <w:right w:type="dxa" w:w="120"/>
            </w:tcMar>
            <w:vAlign w:val="top"/>
          </w:tcPr>
          <w:p>
            <w:pPr>
              <w:spacing w:after="0"/>
            </w:pPr>
            <w:r>
              <w:rPr>
                <w:rFonts w:ascii="Arial" w:cs="Arial" w:eastAsia="Arial" w:hAnsi="Arial"/>
                <w:sz w:val="20"/>
                <w:szCs w:val="20"/>
              </w:rPr>
              <w:t xml:space="preserve">Monthly</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Single region, MySQL only</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&lt; 10 min; replica promotion successful</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Backup restore drill</w:t>
            </w:r>
          </w:p>
        </w:tc>
        <w:tc>
          <w:tcPr>
            <w:tcW w:type="pct" w:w="14%"/>
            <w:tcMar>
              <w:top w:type="dxa" w:w="80"/>
              <w:left w:type="dxa" w:w="120"/>
              <w:bottom w:type="dxa" w:w="80"/>
              <w:right w:type="dxa" w:w="120"/>
            </w:tcMar>
            <w:vAlign w:val="top"/>
          </w:tcPr>
          <w:p>
            <w:pPr>
              <w:spacing w:after="0"/>
            </w:pPr>
            <w:r>
              <w:rPr>
                <w:rFonts w:ascii="Arial" w:cs="Arial" w:eastAsia="Arial" w:hAnsi="Arial"/>
                <w:sz w:val="20"/>
                <w:szCs w:val="20"/>
              </w:rPr>
              <w:t xml:space="preserve">Monthly</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Restore last 24h to scratch instance, validate integrity</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Restore completes; sample queries return expected rows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Chaos drill (Azure Chaos Studio)</w:t>
            </w:r>
          </w:p>
        </w:tc>
        <w:tc>
          <w:tcPr>
            <w:tcW w:type="pct" w:w="14%"/>
            <w:tcMar>
              <w:top w:type="dxa" w:w="80"/>
              <w:left w:type="dxa" w:w="120"/>
              <w:bottom w:type="dxa" w:w="80"/>
              <w:right w:type="dxa" w:w="120"/>
            </w:tcMar>
            <w:vAlign w:val="top"/>
          </w:tcPr>
          <w:p>
            <w:pPr>
              <w:spacing w:after="0"/>
            </w:pPr>
            <w:r>
              <w:rPr>
                <w:rFonts w:ascii="Arial" w:cs="Arial" w:eastAsia="Arial" w:hAnsi="Arial"/>
                <w:sz w:val="20"/>
                <w:szCs w:val="20"/>
              </w:rPr>
              <w:t xml:space="preserve">Monthly</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Random pod kill / network partition / dependency latency injection</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No SLO breach; alerts fire correctly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Tabletop exercise (incident response)</w:t>
            </w:r>
          </w:p>
        </w:tc>
        <w:tc>
          <w:tcPr>
            <w:tcW w:type="pct" w:w="14%"/>
            <w:tcMar>
              <w:top w:type="dxa" w:w="80"/>
              <w:left w:type="dxa" w:w="120"/>
              <w:bottom w:type="dxa" w:w="80"/>
              <w:right w:type="dxa" w:w="120"/>
            </w:tcMar>
            <w:vAlign w:val="top"/>
          </w:tcPr>
          <w:p>
            <w:pPr>
              <w:spacing w:after="0"/>
            </w:pPr>
            <w:r>
              <w:rPr>
                <w:rFonts w:ascii="Arial" w:cs="Arial" w:eastAsia="Arial" w:hAnsi="Arial"/>
                <w:sz w:val="20"/>
                <w:szCs w:val="20"/>
              </w:rPr>
              <w:t xml:space="preserve">Quarterly</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Scenario-based discussion (security breach, data loss, vendor outage)</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Documented gaps; action items tracked</w:t>
            </w:r>
          </w:p>
        </w:tc>
      </w:tr>
    </w:tbl>
    <w:p>
      <w:r>
        <w:br w:type="page"/>
      </w:r>
    </w:p>
    <w:p>
      <w:pPr>
        <w:pStyle w:val="Heading1"/>
        <w:spacing w:after="180" w:before="360"/>
      </w:pPr>
      <w:r>
        <w:rPr>
          <w:rFonts w:ascii="Arial" w:cs="Arial" w:eastAsia="Arial" w:hAnsi="Arial"/>
          <w:b/>
          <w:bCs/>
          <w:color w:val="1F4E79"/>
          <w:sz w:val="36"/>
          <w:szCs w:val="36"/>
        </w:rPr>
        <w:t xml:space="preserve">9. Backup &amp; Restore</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tblGrid>
      <w:tr>
        <w:trPr>
          <w:tblHeader/>
        </w:trPr>
        <w:tc>
          <w:tcPr>
            <w:tcW w:type="pct" w:w="2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Asset</w:t>
            </w:r>
          </w:p>
        </w:tc>
        <w:tc>
          <w:tcPr>
            <w:tcW w:type="pct" w:w="2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Backup Method</w:t>
            </w:r>
          </w:p>
        </w:tc>
        <w:tc>
          <w:tcPr>
            <w:tcW w:type="pct" w:w="1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Frequency</w:t>
            </w:r>
          </w:p>
        </w:tc>
        <w:tc>
          <w:tcPr>
            <w:tcW w:type="pct" w:w="3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Retention</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MySQL</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Azure DB native automated backup + transaction log</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Continuous (transaction log) + daily full</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35 days PITR; 1 year long-term (selectable)</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Object storage (Blob)</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GZRS replication + soft delete</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Continuous</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30 days soft delete; immutable for audit-tagged blobs</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Configuration (Bicep / Terraform)</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Git repository</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Per commit</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Indefinite</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Secrets (Key Vault)</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Azure-managed; soft-delete + purge protection</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Continuous</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90 days recoverable post-delete</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Code</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GitHub + offline mirror to second provider</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Per push</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Indefinite</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Documentation</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Confluence + git mirror</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Per edit</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Indefinite</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9.1 Restore SLAs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6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Scenario</w:t>
            </w:r>
          </w:p>
        </w:tc>
        <w:tc>
          <w:tcPr>
            <w:tcW w:type="pct" w:w="4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Target Restore Time</w:t>
            </w:r>
          </w:p>
        </w:tc>
      </w:tr>
      <w:tr>
        <w:tc>
          <w:tcPr>
            <w:tcW w:type="pct" w:w="60%"/>
            <w:tcMar>
              <w:top w:type="dxa" w:w="80"/>
              <w:left w:type="dxa" w:w="120"/>
              <w:bottom w:type="dxa" w:w="80"/>
              <w:right w:type="dxa" w:w="120"/>
            </w:tcMar>
            <w:vAlign w:val="top"/>
          </w:tcPr>
          <w:p>
            <w:pPr>
              <w:spacing w:after="0"/>
            </w:pPr>
            <w:r>
              <w:rPr>
                <w:rFonts w:ascii="Arial" w:cs="Arial" w:eastAsia="Arial" w:hAnsi="Arial"/>
                <w:sz w:val="20"/>
                <w:szCs w:val="20"/>
              </w:rPr>
              <w:t xml:space="preserve">Single tenant accidental delete (PITR within 35 days)</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&lt;= 4 hours</w:t>
            </w:r>
          </w:p>
        </w:tc>
      </w:tr>
      <w:tr>
        <w:tc>
          <w:tcPr>
            <w:tcW w:type="pct" w:w="60%"/>
            <w:tcMar>
              <w:top w:type="dxa" w:w="80"/>
              <w:left w:type="dxa" w:w="120"/>
              <w:bottom w:type="dxa" w:w="80"/>
              <w:right w:type="dxa" w:w="120"/>
            </w:tcMar>
            <w:vAlign w:val="top"/>
          </w:tcPr>
          <w:p>
            <w:pPr>
              <w:spacing w:after="0"/>
            </w:pPr>
            <w:r>
              <w:rPr>
                <w:rFonts w:ascii="Arial" w:cs="Arial" w:eastAsia="Arial" w:hAnsi="Arial"/>
                <w:sz w:val="20"/>
                <w:szCs w:val="20"/>
              </w:rPr>
              <w:t xml:space="preserve">Single table corruption</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&lt;= 6 hours</w:t>
            </w:r>
          </w:p>
        </w:tc>
      </w:tr>
      <w:tr>
        <w:tc>
          <w:tcPr>
            <w:tcW w:type="pct" w:w="60%"/>
            <w:tcMar>
              <w:top w:type="dxa" w:w="80"/>
              <w:left w:type="dxa" w:w="120"/>
              <w:bottom w:type="dxa" w:w="80"/>
              <w:right w:type="dxa" w:w="120"/>
            </w:tcMar>
            <w:vAlign w:val="top"/>
          </w:tcPr>
          <w:p>
            <w:pPr>
              <w:spacing w:after="0"/>
            </w:pPr>
            <w:r>
              <w:rPr>
                <w:rFonts w:ascii="Arial" w:cs="Arial" w:eastAsia="Arial" w:hAnsi="Arial"/>
                <w:sz w:val="20"/>
                <w:szCs w:val="20"/>
              </w:rPr>
              <w:t xml:space="preserve">Full region rebuild from backup (worst case, IN region from scratch using only backups)</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&lt;= 24 hours</w:t>
            </w:r>
          </w:p>
        </w:tc>
      </w:tr>
      <w:tr>
        <w:tc>
          <w:tcPr>
            <w:tcW w:type="pct" w:w="60%"/>
            <w:tcMar>
              <w:top w:type="dxa" w:w="80"/>
              <w:left w:type="dxa" w:w="120"/>
              <w:bottom w:type="dxa" w:w="80"/>
              <w:right w:type="dxa" w:w="120"/>
            </w:tcMar>
            <w:vAlign w:val="top"/>
          </w:tcPr>
          <w:p>
            <w:pPr>
              <w:spacing w:after="0"/>
            </w:pPr>
            <w:r>
              <w:rPr>
                <w:rFonts w:ascii="Arial" w:cs="Arial" w:eastAsia="Arial" w:hAnsi="Arial"/>
                <w:sz w:val="20"/>
                <w:szCs w:val="20"/>
              </w:rPr>
              <w:t xml:space="preserve">Single Sensitive PII row recovery (audit-driven request)</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&lt;= 8 hours, dual-approval required</w:t>
            </w:r>
          </w:p>
        </w:tc>
      </w:tr>
    </w:tbl>
    <w:p>
      <w:r>
        <w:br w:type="page"/>
      </w:r>
    </w:p>
    <w:p>
      <w:pPr>
        <w:pStyle w:val="Heading1"/>
        <w:spacing w:after="180" w:before="360"/>
      </w:pPr>
      <w:r>
        <w:rPr>
          <w:rFonts w:ascii="Arial" w:cs="Arial" w:eastAsia="Arial" w:hAnsi="Arial"/>
          <w:b/>
          <w:bCs/>
          <w:color w:val="1F4E79"/>
          <w:sz w:val="36"/>
          <w:szCs w:val="36"/>
        </w:rPr>
        <w:t xml:space="preserve">10. Routine Operations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4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Activity</w:t>
            </w:r>
          </w:p>
        </w:tc>
        <w:tc>
          <w:tcPr>
            <w:tcW w:type="pct" w:w="3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Frequency</w:t>
            </w:r>
          </w:p>
        </w:tc>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Owner</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MySQL minor version upgrade</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Quarterly (Azure-driven)</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DBA + DevOps</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MySQL major version upgrade</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When supported (every 18-24 months)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DBA + Tech Lead</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App framework patch (.NET, Angular, KMP)</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Per minor; per quarter for major</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Engineering Manager</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OS patches (container base image)</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Monthly + zero-day-driven</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DevOps</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Cert rotation (managed certs)</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Automated (cert-manager)</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DevOps oversight</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Key rotation (CMK)</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Annually</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Security + DBA</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Access review</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Quarterly</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Security</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Cost review</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Monthly</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FinOps + SRE</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Capacity review</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Quarterly</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SRE</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DR drill</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Quarterly (full); monthly (DB-only)</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SRE + DBA</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BCP test (full)</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Annually</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CISO + COO</w:t>
            </w:r>
          </w:p>
        </w:tc>
      </w:tr>
    </w:tbl>
    <w:p>
      <w:r>
        <w:br w:type="page"/>
      </w:r>
    </w:p>
    <w:p>
      <w:pPr>
        <w:pStyle w:val="Heading1"/>
        <w:spacing w:after="180" w:before="360"/>
      </w:pPr>
      <w:r>
        <w:rPr>
          <w:rFonts w:ascii="Arial" w:cs="Arial" w:eastAsia="Arial" w:hAnsi="Arial"/>
          <w:b/>
          <w:bCs/>
          <w:color w:val="1F4E79"/>
          <w:sz w:val="36"/>
          <w:szCs w:val="36"/>
        </w:rPr>
        <w:t xml:space="preserve">11. Post-Incident Review (PIR) Template</w:t>
      </w:r>
    </w:p>
    <w:p>
      <w:pPr>
        <w:pStyle w:val="ListParagraph"/>
        <w:numPr>
          <w:ilvl w:val="0"/>
          <w:numId w:val="2"/>
        </w:numPr>
        <w:spacing w:after="80"/>
      </w:pPr>
      <w:r>
        <w:rPr>
          <w:rFonts w:ascii="Arial" w:cs="Arial" w:eastAsia="Arial" w:hAnsi="Arial"/>
          <w:sz w:val="22"/>
          <w:szCs w:val="22"/>
        </w:rPr>
        <w:t xml:space="preserve">Incident summary (1 paragraph): what, when, how long, blast radius</w:t>
      </w:r>
    </w:p>
    <w:p>
      <w:pPr>
        <w:pStyle w:val="ListParagraph"/>
        <w:numPr>
          <w:ilvl w:val="0"/>
          <w:numId w:val="2"/>
        </w:numPr>
        <w:spacing w:after="80"/>
      </w:pPr>
      <w:r>
        <w:rPr>
          <w:rFonts w:ascii="Arial" w:cs="Arial" w:eastAsia="Arial" w:hAnsi="Arial"/>
          <w:sz w:val="22"/>
          <w:szCs w:val="22"/>
        </w:rPr>
        <w:t xml:space="preserve">Timeline (precise UTC + region-local times): detection → page → ack → mitigation → resolution</w:t>
      </w:r>
    </w:p>
    <w:p>
      <w:pPr>
        <w:pStyle w:val="ListParagraph"/>
        <w:numPr>
          <w:ilvl w:val="0"/>
          <w:numId w:val="2"/>
        </w:numPr>
        <w:spacing w:after="80"/>
      </w:pPr>
      <w:r>
        <w:rPr>
          <w:rFonts w:ascii="Arial" w:cs="Arial" w:eastAsia="Arial" w:hAnsi="Arial"/>
          <w:sz w:val="22"/>
          <w:szCs w:val="22"/>
        </w:rPr>
        <w:t xml:space="preserve">Root cause (technical): the underlying defect or configuration drift</w:t>
      </w:r>
    </w:p>
    <w:p>
      <w:pPr>
        <w:pStyle w:val="ListParagraph"/>
        <w:numPr>
          <w:ilvl w:val="0"/>
          <w:numId w:val="2"/>
        </w:numPr>
        <w:spacing w:after="80"/>
      </w:pPr>
      <w:r>
        <w:rPr>
          <w:rFonts w:ascii="Arial" w:cs="Arial" w:eastAsia="Arial" w:hAnsi="Arial"/>
          <w:sz w:val="22"/>
          <w:szCs w:val="22"/>
        </w:rPr>
        <w:t xml:space="preserve">Contributing factors: monitoring gaps, runbook ambiguity, on-call fatigue, dependency behaviour</w:t>
      </w:r>
    </w:p>
    <w:p>
      <w:pPr>
        <w:pStyle w:val="ListParagraph"/>
        <w:numPr>
          <w:ilvl w:val="0"/>
          <w:numId w:val="2"/>
        </w:numPr>
        <w:spacing w:after="80"/>
      </w:pPr>
      <w:r>
        <w:rPr>
          <w:rFonts w:ascii="Arial" w:cs="Arial" w:eastAsia="Arial" w:hAnsi="Arial"/>
          <w:sz w:val="22"/>
          <w:szCs w:val="22"/>
        </w:rPr>
        <w:t xml:space="preserve">Customer impact: tenants affected, data loss (if any), missed SLOs, error budget consumed</w:t>
      </w:r>
    </w:p>
    <w:p>
      <w:pPr>
        <w:pStyle w:val="ListParagraph"/>
        <w:numPr>
          <w:ilvl w:val="0"/>
          <w:numId w:val="2"/>
        </w:numPr>
        <w:spacing w:after="80"/>
      </w:pPr>
      <w:r>
        <w:rPr>
          <w:rFonts w:ascii="Arial" w:cs="Arial" w:eastAsia="Arial" w:hAnsi="Arial"/>
          <w:sz w:val="22"/>
          <w:szCs w:val="22"/>
        </w:rPr>
        <w:t xml:space="preserve">What went well: detections that fired correctly, decisions that helped, automation that worked</w:t>
      </w:r>
    </w:p>
    <w:p>
      <w:pPr>
        <w:pStyle w:val="ListParagraph"/>
        <w:numPr>
          <w:ilvl w:val="0"/>
          <w:numId w:val="2"/>
        </w:numPr>
        <w:spacing w:after="80"/>
      </w:pPr>
      <w:r>
        <w:rPr>
          <w:rFonts w:ascii="Arial" w:cs="Arial" w:eastAsia="Arial" w:hAnsi="Arial"/>
          <w:sz w:val="22"/>
          <w:szCs w:val="22"/>
        </w:rPr>
        <w:t xml:space="preserve">What did not: misfires, lost time, gaps</w:t>
      </w:r>
    </w:p>
    <w:p>
      <w:pPr>
        <w:pStyle w:val="ListParagraph"/>
        <w:numPr>
          <w:ilvl w:val="0"/>
          <w:numId w:val="2"/>
        </w:numPr>
        <w:spacing w:after="80"/>
      </w:pPr>
      <w:r>
        <w:rPr>
          <w:rFonts w:ascii="Arial" w:cs="Arial" w:eastAsia="Arial" w:hAnsi="Arial"/>
          <w:sz w:val="22"/>
          <w:szCs w:val="22"/>
        </w:rPr>
        <w:t xml:space="preserve">Action items (with owners + due dates): prevention, detection, mitigation improvements</w:t>
      </w:r>
    </w:p>
    <w:p>
      <w:pPr>
        <w:pStyle w:val="ListParagraph"/>
        <w:numPr>
          <w:ilvl w:val="0"/>
          <w:numId w:val="2"/>
        </w:numPr>
        <w:spacing w:after="80"/>
      </w:pPr>
      <w:r>
        <w:rPr>
          <w:rFonts w:ascii="Arial" w:cs="Arial" w:eastAsia="Arial" w:hAnsi="Arial"/>
          <w:sz w:val="22"/>
          <w:szCs w:val="22"/>
        </w:rPr>
        <w:t xml:space="preserve">Communications log: status page entries, client notifications, regulator notifications (if any)</w:t>
      </w:r>
    </w:p>
    <w:p>
      <w:r>
        <w:br w:type="page"/>
      </w:r>
    </w:p>
    <w:p>
      <w:pPr>
        <w:pStyle w:val="Heading1"/>
        <w:spacing w:after="180" w:before="360"/>
      </w:pPr>
      <w:r>
        <w:rPr>
          <w:rFonts w:ascii="Arial" w:cs="Arial" w:eastAsia="Arial" w:hAnsi="Arial"/>
          <w:b/>
          <w:bCs/>
          <w:color w:val="1F4E79"/>
          <w:sz w:val="36"/>
          <w:szCs w:val="36"/>
        </w:rPr>
        <w:t xml:space="preserve">12. Sign-Off</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Role</w:t>
            </w:r>
          </w:p>
        </w:tc>
        <w:tc>
          <w:tcPr>
            <w:tcW w:type="pct" w:w="7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Responsibility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SRE Lead</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Owns this runbook; runs DR drills; signs off SLO targets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DBA Lead</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Owns DB failover and restore procedures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DevOps Lead</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Owns Front Door, Service Bus, Redis failover</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CISO</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Owns incident response framework and breach notification</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Engineering Manager</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Owns post-incident action item delivery</w:t>
            </w:r>
          </w:p>
        </w:tc>
      </w:tr>
    </w:tbl>
    <w:p>
      <w:pPr>
        <w:spacing w:after="80"/>
      </w:pPr>
      <w:r>
        <w:t xml:space="preserve"/>
      </w:r>
    </w:p>
    <w:p>
      <w:pPr>
        <w:spacing w:after="80"/>
      </w:pPr>
      <w:r>
        <w:t xml:space="preserve"/>
      </w:r>
    </w:p>
    <w:p>
      <w:pPr>
        <w:spacing w:after="120"/>
        <w:rPr>
          <w:i/>
          <w:iCs/>
          <w:color w:val="666666"/>
        </w:rPr>
      </w:pPr>
      <w:r>
        <w:rPr>
          <w:rFonts w:ascii="Arial" w:cs="Arial" w:eastAsia="Arial" w:hAnsi="Arial"/>
          <w:i/>
          <w:iCs/>
          <w:color w:val="666666"/>
          <w:sz w:val="22"/>
          <w:szCs w:val="22"/>
        </w:rPr>
        <w:t xml:space="preserve">— End of DR &amp; Operations Runbook v2.0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ULP — Confidential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ULP DR &amp; Operations Runbook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color w:val="1F4E79"/>
      <w:sz w:val="56"/>
      <w:szCs w:val="56"/>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10" w:before="220"/>
      <w:outlineLvl w:val="2"/>
    </w:pPr>
    <w:rPr>
      <w:rFonts w:ascii="Arial" w:cs="Arial" w:eastAsia="Arial" w:hAnsi="Arial"/>
      <w:b/>
      <w:bCs/>
      <w:sz w:val="24"/>
      <w:szCs w:val="24"/>
    </w:rPr>
  </w:style>
  <w:style w:type="paragraph" w:styleId="Heading4">
    <w:name w:val="Heading 4"/>
    <w:basedOn w:val="Normal"/>
    <w:next w:val="Normal"/>
    <w:qFormat/>
    <w:pPr>
      <w:spacing w:after="90" w:before="18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ULP DR &amp; Operations Runbook v2.0</dc:title>
  <dc:creator>ULP Project Team</dc:creator>
  <cp:lastModifiedBy>Un-named</cp:lastModifiedBy>
  <cp:revision>1</cp:revision>
  <dcterms:created xsi:type="dcterms:W3CDTF">2026-05-01T21:47:32.163Z</dcterms:created>
  <dcterms:modified xsi:type="dcterms:W3CDTF">2026-05-01T21:47:32.164Z</dcterms:modified>
</cp:coreProperties>
</file>

<file path=docProps/custom.xml><?xml version="1.0" encoding="utf-8"?>
<Properties xmlns="http://schemas.openxmlformats.org/officeDocument/2006/custom-properties" xmlns:vt="http://schemas.openxmlformats.org/officeDocument/2006/docPropsVTypes"/>
</file>