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0"/>
        <w:jc w:val="center"/>
      </w:pPr>
      <w:r>
        <w:rPr>
          <w:rFonts w:ascii="Arial" w:cs="Arial" w:eastAsia="Arial" w:hAnsi="Arial"/>
          <w:b/>
          <w:bCs/>
          <w:color w:val="1F4E79"/>
          <w:sz w:val="56"/>
          <w:szCs w:val="56"/>
        </w:rPr>
        <w:t xml:space="preserve">Module 19 — Banking (US)</w:t>
      </w:r>
    </w:p>
    <w:p>
      <w:pPr>
        <w:spacing w:after="240" w:before="0"/>
        <w:jc w:val="center"/>
      </w:pPr>
      <w:r>
        <w:rPr>
          <w:rFonts w:ascii="Arial" w:cs="Arial" w:eastAsia="Arial" w:hAnsi="Arial"/>
          <w:i/>
          <w:iCs/>
          <w:color w:val="666666"/>
          <w:sz w:val="28"/>
          <w:szCs w:val="28"/>
        </w:rPr>
        <w:t xml:space="preserve">Low-Level Design — US Banking Integration</w:t>
      </w:r>
    </w:p>
    <w:p>
      <w:pPr>
        <w:spacing w:after="240" w:before="480"/>
        <w:jc w:val="center"/>
      </w:pPr>
      <w:r>
        <w:rPr>
          <w:rFonts w:ascii="Arial" w:cs="Arial" w:eastAsia="Arial" w:hAnsi="Arial"/>
          <w:b/>
          <w:bCs/>
          <w:color w:val="1F4E79"/>
          <w:sz w:val="28"/>
          <w:szCs w:val="28"/>
        </w:rPr>
        <w:t xml:space="preserve">Version 1.0</w:t>
      </w:r>
    </w:p>
    <w:p>
      <w:pPr>
        <w:spacing w:after="240"/>
        <w:jc w:val="center"/>
      </w:pPr>
      <w:r>
        <w:rPr>
          <w:rFonts w:ascii="Arial" w:cs="Arial" w:eastAsia="Arial" w:hAnsi="Arial"/>
          <w:color w:val="666666"/>
          <w:sz w:val="22"/>
          <w:szCs w:val="22"/>
        </w:rPr>
        <w:t xml:space="preserve">02-May-2026</w:t>
      </w:r>
    </w:p>
    <w:p>
      <w:pPr>
        <w:spacing w:after="0" w:before="1440"/>
        <w:jc w:val="center"/>
      </w:pPr>
      <w:r>
        <w:rPr>
          <w:rFonts w:ascii="Arial" w:cs="Arial" w:eastAsia="Arial" w:hAnsi="Arial"/>
          <w:i/>
          <w:iCs/>
          <w:color w:val="999999"/>
          <w:sz w:val="20"/>
          <w:szCs w:val="20"/>
        </w:rPr>
        <w:t xml:space="preserve">Audience: Banking Integration Engineers, Treasury Ops, US Tenant Onboarding</w:t>
      </w:r>
    </w:p>
    <w:p>
      <w:r>
        <w:br w:type="page"/>
      </w:r>
    </w:p>
    <w:p>
      <w:pPr>
        <w:pStyle w:val="Heading1"/>
        <w:spacing w:after="180" w:before="360"/>
      </w:pPr>
      <w:r>
        <w:rPr>
          <w:rFonts w:ascii="Arial" w:cs="Arial" w:eastAsia="Arial" w:hAnsi="Arial"/>
          <w:b/>
          <w:bCs/>
          <w:color w:val="1F4E79"/>
          <w:sz w:val="36"/>
          <w:szCs w:val="36"/>
        </w:rPr>
        <w:t xml:space="preserve">1. Purpose &amp; Scope</w:t>
      </w:r>
    </w:p>
    <w:p>This LLD defines the US-specific banking integration plugin () for the Unified Logistics Platform. It covers ACH origination/receipt, Plaid account aggregation, BAI2 statement parsing, NACHA file generation, and Fedwire/SWIFT wire transfers.</w:p>
    <w:p>
      <w:pPr>
        <w:pStyle w:val="ListParagraph"/>
        <w:numPr>
          <w:ilvl w:val="0"/>
          <w:numId w:val="2"/>
        </w:numPr>
        <w:spacing w:after="80"/>
      </w:pPr>
      <w:r>
        <w:rPr>
          <w:rFonts w:ascii="Arial" w:cs="Arial" w:eastAsia="Arial" w:hAnsi="Arial"/>
          <w:sz w:val="22"/>
          <w:szCs w:val="22"/>
        </w:rPr>
        <w:t xml:space="preserve">In scope: ACH credit/debit, Plaid Link integration, BAI2 daily statement import, NACHA PPD/CCD/CTX file generation, wire transfer initiation, positive pay file output, account verification (micro-deposits, instant via Plaid).</w:t>
      </w:r>
    </w:p>
    <w:p>
      <w:pPr>
        <w:pStyle w:val="ListParagraph"/>
        <w:numPr>
          <w:ilvl w:val="0"/>
          <w:numId w:val="2"/>
        </w:numPr>
        <w:spacing w:after="80"/>
      </w:pPr>
      <w:r>
        <w:rPr>
          <w:rFonts w:ascii="Arial" w:cs="Arial" w:eastAsia="Arial" w:hAnsi="Arial"/>
          <w:sz w:val="22"/>
          <w:szCs w:val="22"/>
        </w:rPr>
        <w:t xml:space="preserve">Out of scope: Card processing (handled by M16 via Stripe/Authorize.net), check printing/MICR (deferred to v2.1), international ACH (IAT) — Phase 2.</w:t>
      </w:r>
    </w:p>
    <w:p>
      <w:pPr>
        <w:pStyle w:val="ListParagraph"/>
        <w:numPr>
          <w:ilvl w:val="0"/>
          <w:numId w:val="2"/>
        </w:numPr>
        <w:spacing w:after="80"/>
      </w:pPr>
      <w:r>
        <w:rPr>
          <w:rFonts w:ascii="Arial" w:cs="Arial" w:eastAsia="Arial" w:hAnsi="Arial"/>
          <w:sz w:val="22"/>
          <w:szCs w:val="22"/>
        </w:rPr>
        <w:t xml:space="preserve">Indian Banking (NEFT/RTGS/IMPS/UPI/NACH) is preserved unchanged in M19 Core + M19.IN.Banking plugin. This document covers ONLY the US plugin.</w:t>
      </w:r>
    </w:p>
    <w:p>
      <w:pPr>
        <w:pStyle w:val="Heading2"/>
        <w:spacing w:after="140" w:before="280"/>
      </w:pPr>
      <w:r>
        <w:rPr>
          <w:rFonts w:ascii="Arial" w:cs="Arial" w:eastAsia="Arial" w:hAnsi="Arial"/>
          <w:b/>
          <w:bCs/>
          <w:color w:val="2E75B6"/>
          <w:sz w:val="28"/>
          <w:szCs w:val="28"/>
        </w:rPr>
        <w:t xml:space="preserve">Indian Client Continuity Statement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Concern</w:t>
            </w:r>
          </w:p>
        </w:tc>
        <w:tc>
          <w:tcPr>
            <w:tcW w:type="pct" w:w="6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Will Indian NEFT/RTGS/IMPS/UPI flows change?</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NO — preserved unchanged in M19.IN.Banking plugin.</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Will Indian NACH mandate processing change?</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NO — IN-specific NACH e-mandate flow continues.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Will Indian bank reconciliation change?</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NO — existing IN reconciliation engine unchanged.</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Will Indian tenants see US banking UI?</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NO — UI is country-aware; IN tenants only see IN banking screens.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Will database schema break for IN?</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NO — new m19us_* tables added; existing m19_* tables only get optional country_code column.</w:t>
            </w:r>
          </w:p>
        </w:tc>
      </w:tr>
    </w:tbl>
    <w:p>
      <w:pPr>
        <w:pStyle w:val="Heading1"/>
        <w:spacing w:after="180" w:before="360"/>
      </w:pPr>
      <w:r>
        <w:rPr>
          <w:rFonts w:ascii="Arial" w:cs="Arial" w:eastAsia="Arial" w:hAnsi="Arial"/>
          <w:b/>
          <w:bCs/>
          <w:color w:val="1F4E79"/>
          <w:sz w:val="36"/>
          <w:szCs w:val="36"/>
        </w:rPr>
        <w:t xml:space="preserve">2. US Banking Domain Concepts</w:t>
      </w:r>
    </w:p>
    <w:p>
      <w:pPr>
        <w:pStyle w:val="Heading2"/>
        <w:spacing w:after="140" w:before="280"/>
      </w:pPr>
      <w:r>
        <w:rPr>
          <w:rFonts w:ascii="Arial" w:cs="Arial" w:eastAsia="Arial" w:hAnsi="Arial"/>
          <w:b/>
          <w:bCs/>
          <w:color w:val="2E75B6"/>
          <w:sz w:val="28"/>
          <w:szCs w:val="28"/>
        </w:rPr>
        <w:t xml:space="preserve">2.1 Payment Rail Comparison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Rail</w:t>
            </w:r>
          </w:p>
        </w:tc>
        <w:tc>
          <w:tcPr>
            <w:tcW w:type="pct" w:w="2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 Equivalent</w:t>
            </w:r>
          </w:p>
        </w:tc>
        <w:tc>
          <w:tcPr>
            <w:tcW w:type="pct" w:w="2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Indian Equivalent</w:t>
            </w:r>
          </w:p>
        </w:tc>
        <w:tc>
          <w:tcPr>
            <w:tcW w:type="pct" w:w="2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Settlement</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Same-day low-value</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Same-Day ACH</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IMPS / UPI</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US: same-day; IN: instant</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Bulk batch</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ACH (PPD/CCD)</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NACH</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US: T+1 to T+2; IN: T+0 to T+1</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High-value RTGS</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Fedwire</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RTGS</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Both: same-day, real-time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International</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SWIFT (MT103/MT202)</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SWIFT</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T+1 to T+3</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Card-based</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Visa/MC/Amex/Discover</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Visa/MC/RuPay</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T+1 to T+2</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Account aggregation</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Plaid / MX / Finicity</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Account Aggregator (RBI)</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Real-time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Statement format</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BAI2 / MT940</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MT940 / Excel</w:t>
            </w:r>
          </w:p>
        </w:tc>
        <w:tc>
          <w:tcPr>
            <w:tcW w:type="pct" w:w="26%"/>
            <w:tcMar>
              <w:top w:type="dxa" w:w="80"/>
              <w:left w:type="dxa" w:w="120"/>
              <w:bottom w:type="dxa" w:w="80"/>
              <w:right w:type="dxa" w:w="120"/>
            </w:tcMar>
            <w:vAlign w:val="top"/>
          </w:tcPr>
          <w:p>
            <w:pPr>
              <w:spacing w:after="0"/>
            </w:pPr>
            <w:r>
              <w:rPr>
                <w:rFonts w:ascii="Arial" w:cs="Arial" w:eastAsia="Arial" w:hAnsi="Arial"/>
                <w:sz w:val="20"/>
                <w:szCs w:val="20"/>
              </w:rPr>
              <w:t xml:space="preserve">Daily</w:t>
            </w:r>
          </w:p>
        </w:tc>
      </w:tr>
    </w:tbl>
    <w:p>
      <w:pPr>
        <w:pStyle w:val="Heading2"/>
        <w:spacing w:after="140" w:before="280"/>
      </w:pPr>
      <w:r>
        <w:rPr>
          <w:rFonts w:ascii="Arial" w:cs="Arial" w:eastAsia="Arial" w:hAnsi="Arial"/>
          <w:b/>
          <w:bCs/>
          <w:color w:val="2E75B6"/>
          <w:sz w:val="28"/>
          <w:szCs w:val="28"/>
        </w:rPr>
        <w:t xml:space="preserve">2.2 ACH Standard Entry Class (SEC) Codes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1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SEC Code</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Use Case</w:t>
            </w:r>
          </w:p>
        </w:tc>
        <w:tc>
          <w:tcPr>
            <w:tcW w:type="pct" w:w="4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ULP Application</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PPD</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Prepaid / Personal — consumer payments</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Payroll, vendor refunds to individuals</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CCD</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Cash Concentration / Disbursement — B2B</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Vendor payments, customer collections</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CTX</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Corporate Trade Exchange — B2B with addenda</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Invoice-rich vendor settlement (EDI 820)</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WEB</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Internet-Initiated Entry</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Customer portal payment (one-time)</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TEL</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Telephone-Initiated Entry</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Not used in ULP</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IAT</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International ACH Transaction</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Phase 2 (deferred)</w:t>
            </w:r>
          </w:p>
        </w:tc>
      </w:tr>
    </w:tbl>
    <w:p>
      <w:pPr>
        <w:pStyle w:val="Heading2"/>
        <w:spacing w:after="140" w:before="280"/>
      </w:pPr>
      <w:r>
        <w:rPr>
          <w:rFonts w:ascii="Arial" w:cs="Arial" w:eastAsia="Arial" w:hAnsi="Arial"/>
          <w:b/>
          <w:bCs/>
          <w:color w:val="2E75B6"/>
          <w:sz w:val="28"/>
          <w:szCs w:val="28"/>
        </w:rPr>
        <w:t xml:space="preserve">2.3 Account Verification Methods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pct" w:w="1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Time</w:t>
            </w:r>
          </w:p>
        </w:tc>
        <w:tc>
          <w:tcPr>
            <w:tcW w:type="pct" w:w="17%"/>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When to use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Plaid Instant</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30 sec</w:t>
            </w:r>
          </w:p>
        </w:tc>
        <w:tc>
          <w:tcPr>
            <w:tcW w:type="pct" w:w="17%"/>
            <w:tcMar>
              <w:top w:type="dxa" w:w="80"/>
              <w:left w:type="dxa" w:w="120"/>
              <w:bottom w:type="dxa" w:w="80"/>
              <w:right w:type="dxa" w:w="120"/>
            </w:tcMar>
            <w:vAlign w:val="top"/>
          </w:tcPr>
          <w:p>
            <w:pPr>
              <w:spacing w:after="0"/>
            </w:pPr>
            <w:r>
              <w:rPr>
                <w:rFonts w:ascii="Arial" w:cs="Arial" w:eastAsia="Arial" w:hAnsi="Arial"/>
                <w:sz w:val="20"/>
                <w:szCs w:val="20"/>
              </w:rPr>
              <w:t xml:space="preserve">$1-2 per verify</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Customer onboarding, high-value vendor add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Micro-deposits</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1-2 business days</w:t>
            </w:r>
          </w:p>
        </w:tc>
        <w:tc>
          <w:tcPr>
            <w:tcW w:type="pct" w:w="17%"/>
            <w:tcMar>
              <w:top w:type="dxa" w:w="80"/>
              <w:left w:type="dxa" w:w="120"/>
              <w:bottom w:type="dxa" w:w="80"/>
              <w:right w:type="dxa" w:w="120"/>
            </w:tcMar>
            <w:vAlign w:val="top"/>
          </w:tcPr>
          <w:p>
            <w:pPr>
              <w:spacing w:after="0"/>
            </w:pPr>
            <w:r>
              <w:rPr>
                <w:rFonts w:ascii="Arial" w:cs="Arial" w:eastAsia="Arial" w:hAnsi="Arial"/>
                <w:sz w:val="20"/>
                <w:szCs w:val="20"/>
              </w:rPr>
              <w:t xml:space="preserve">$0.50 per pair</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Fallback when Plaid unsupported, low-volume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Trial credit + reversal</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1 business day</w:t>
            </w:r>
          </w:p>
        </w:tc>
        <w:tc>
          <w:tcPr>
            <w:tcW w:type="pct" w:w="17%"/>
            <w:tcMar>
              <w:top w:type="dxa" w:w="80"/>
              <w:left w:type="dxa" w:w="120"/>
              <w:bottom w:type="dxa" w:w="80"/>
              <w:right w:type="dxa" w:w="120"/>
            </w:tcMar>
            <w:vAlign w:val="top"/>
          </w:tcPr>
          <w:p>
            <w:pPr>
              <w:spacing w:after="0"/>
            </w:pPr>
            <w:r>
              <w:rPr>
                <w:rFonts w:ascii="Arial" w:cs="Arial" w:eastAsia="Arial" w:hAnsi="Arial"/>
                <w:sz w:val="20"/>
                <w:szCs w:val="20"/>
              </w:rPr>
              <w:t xml:space="preserve">$0.50</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Vendor account confirmation</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Voided check upload</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Manual review</w:t>
            </w:r>
          </w:p>
        </w:tc>
        <w:tc>
          <w:tcPr>
            <w:tcW w:type="pct" w:w="17%"/>
            <w:tcMar>
              <w:top w:type="dxa" w:w="80"/>
              <w:left w:type="dxa" w:w="120"/>
              <w:bottom w:type="dxa" w:w="80"/>
              <w:right w:type="dxa" w:w="120"/>
            </w:tcMar>
            <w:vAlign w:val="top"/>
          </w:tcPr>
          <w:p>
            <w:pPr>
              <w:spacing w:after="0"/>
            </w:pPr>
            <w:r>
              <w:rPr>
                <w:rFonts w:ascii="Arial" w:cs="Arial" w:eastAsia="Arial" w:hAnsi="Arial"/>
                <w:sz w:val="20"/>
                <w:szCs w:val="20"/>
              </w:rPr>
              <w:t xml:space="preserve">$0</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Last resort; OCR + manual approval</w:t>
            </w:r>
          </w:p>
        </w:tc>
      </w:tr>
    </w:tbl>
    <w:p>
      <w:pPr>
        <w:pStyle w:val="Heading1"/>
        <w:spacing w:after="180" w:before="360"/>
      </w:pPr>
      <w:r>
        <w:rPr>
          <w:rFonts w:ascii="Arial" w:cs="Arial" w:eastAsia="Arial" w:hAnsi="Arial"/>
          <w:b/>
          <w:bCs/>
          <w:color w:val="1F4E79"/>
          <w:sz w:val="36"/>
          <w:szCs w:val="36"/>
        </w:rPr>
        <w:t xml:space="preserve">3. Plaid Integration</w:t>
      </w:r>
    </w:p>
    <w:p>
      <w:pPr>
        <w:pStyle w:val="Heading2"/>
        <w:spacing w:after="140" w:before="280"/>
      </w:pPr>
      <w:r>
        <w:rPr>
          <w:rFonts w:ascii="Arial" w:cs="Arial" w:eastAsia="Arial" w:hAnsi="Arial"/>
          <w:b/>
          <w:bCs/>
          <w:color w:val="2E75B6"/>
          <w:sz w:val="28"/>
          <w:szCs w:val="28"/>
        </w:rPr>
        <w:t xml:space="preserve">3.1 Architecture</w:t>
      </w:r>
    </w:p>
    <w:p>Plaid Link is embedded as an iframe in the ULP Banking Setup wizard. The flow uses Plaid Link Token + Public Token + Access Token pattern. Access tokens are stored encrypted in  (KMS-encrypted at rest, region-locked to East US 2 Key Vault).</w:p>
    <w:p>
      <w:pPr>
        <w:pStyle w:val="Heading3"/>
        <w:spacing w:after="110" w:before="220"/>
      </w:pPr>
      <w:r>
        <w:rPr>
          <w:rFonts w:ascii="Arial" w:cs="Arial" w:eastAsia="Arial" w:hAnsi="Arial"/>
          <w:b/>
          <w:bCs/>
          <w:sz w:val="24"/>
          <w:szCs w:val="24"/>
        </w:rPr>
        <w:t xml:space="preserve">3.2 Sequence: Account Onboarding</w:t>
      </w:r>
    </w:p>
    <w:p>
      <w:pPr>
        <w:shd w:fill="F2F2F2" w:color="F2F2F2" w:val="solid"/>
        <w:spacing w:after="120" w:before="60"/>
      </w:pPr>
      <w:r>
        <w:rPr>
          <w:rFonts w:ascii="Consolas" w:cs="Consolas" w:eastAsia="Consolas" w:hAnsi="Consolas"/>
          <w:sz w:val="20"/>
          <w:szCs w:val="20"/>
        </w:rPr>
        <w:t xml:space="preserve">    1. Tenant clicks "Connect Bank" -&gt; ULP backend calls Plaid /link/token/create
   POST https://production.plaid.com/link/token/create
   { client_id, secret, user: { client_user_id: tenant_id }, products: ["auth","transactions"], country_codes: ["US"] }
   -&gt; { link_token: "link-prod-xxx", expiration }
2. Frontend opens Plaid Link with link_token -&gt; user authenticates with bank
   -&gt; Plaid returns public_token to frontend onSuccess callback
3. Frontend posts public_token to ULP backend
   POST /api/v1/banking/plaid/exchange { public_token, institution_id }
4. Backend exchanges for access_token
   POST https://production.plaid.com/item/public_token/exchange
   { client_id, secret, public_token }
   -&gt; { access_token: "access-prod-xxx", item_id }
5. Backend fetches account details
   POST https://production.plaid.com/auth/get { client_id, secret, access_token }
   -&gt; { accounts: [{ account_id, name, mask, type, subtype, balances }],
        numbers: { ach: [{ account, routing, wire_routing, account_id }] } }
6. Persist to m19us_bank_accounts with KMS-encrypted account/routing,
   m19us_plaid_items with encrypted access_token, item_id, institution_id.</w:t>
      </w:r>
    </w:p>
    <w:p>
      <w:pPr>
        <w:pStyle w:val="Heading2"/>
        <w:spacing w:after="140" w:before="280"/>
      </w:pPr>
      <w:r>
        <w:rPr>
          <w:rFonts w:ascii="Arial" w:cs="Arial" w:eastAsia="Arial" w:hAnsi="Arial"/>
          <w:b/>
          <w:bCs/>
          <w:color w:val="2E75B6"/>
          <w:sz w:val="28"/>
          <w:szCs w:val="28"/>
        </w:rPr>
        <w:t xml:space="preserve">3.3 Webhooks</w:t>
      </w:r>
    </w:p>
    <w:p>Plaid sends webhooks to  for: TRANSACTIONS:DEFAULT_UPDATE, ITEM:ERROR, AUTH:VERIFICATION_EXPIRED, etc. Webhook signature verified with JWT (Plaid public key cached for 24h). Failed verifications return 401.</w:p>
    <w:p>
      <w:pPr>
        <w:pStyle w:val="Heading1"/>
        <w:spacing w:after="180" w:before="360"/>
      </w:pPr>
      <w:r>
        <w:rPr>
          <w:rFonts w:ascii="Arial" w:cs="Arial" w:eastAsia="Arial" w:hAnsi="Arial"/>
          <w:b/>
          <w:bCs/>
          <w:color w:val="1F4E79"/>
          <w:sz w:val="36"/>
          <w:szCs w:val="36"/>
        </w:rPr>
        <w:t xml:space="preserve">4. ACH Origination — NACHA File Generation</w:t>
      </w:r>
    </w:p>
    <w:p>
      <w:pPr>
        <w:pStyle w:val="Heading2"/>
        <w:spacing w:after="140" w:before="280"/>
      </w:pPr>
      <w:r>
        <w:rPr>
          <w:rFonts w:ascii="Arial" w:cs="Arial" w:eastAsia="Arial" w:hAnsi="Arial"/>
          <w:b/>
          <w:bCs/>
          <w:color w:val="2E75B6"/>
          <w:sz w:val="28"/>
          <w:szCs w:val="28"/>
        </w:rPr>
        <w:t xml:space="preserve">4.1 NACHA File Layout</w:t>
      </w:r>
    </w:p>
    <w:p>
      <w:pPr>
        <w:spacing w:after="120"/>
      </w:pPr>
      <w:r>
        <w:rPr>
          <w:rFonts w:ascii="Arial" w:cs="Arial" w:eastAsia="Arial" w:hAnsi="Arial"/>
          <w:sz w:val="22"/>
          <w:szCs w:val="22"/>
        </w:rPr>
        <w:t xml:space="preserve">NACHA files are 94-byte fixed-width records: File Header (rec 1) -&gt; Batch Header (rec 5) -&gt; Entry Detail (rec 6) [+ optional Addenda (rec 7)] -&gt; Batch Control (rec 8) -&gt; File Control (rec 9). All numeric right-justified zero-padded; alpha left-justified space-padded; total file length must be multiple of 10 records (pad with 9999...9 records).</w:t>
      </w:r>
    </w:p>
    <w:p>
      <w:pPr>
        <w:pStyle w:val="Heading2"/>
        <w:spacing w:after="140" w:before="280"/>
      </w:pPr>
      <w:r>
        <w:rPr>
          <w:rFonts w:ascii="Arial" w:cs="Arial" w:eastAsia="Arial" w:hAnsi="Arial"/>
          <w:b/>
          <w:bCs/>
          <w:color w:val="2E75B6"/>
          <w:sz w:val="28"/>
          <w:szCs w:val="28"/>
        </w:rPr>
        <w:t xml:space="preserve">4.2 Same-Day ACH Cutoff Times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Cutoff (ET)</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Settlement</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Notes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10:30 AM</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1:00 PM ET same day</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First window</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2:45 PM</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5:00 PM ET same day</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Second window</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4:45 PM</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Next-day 8:30 AM ET</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Third window</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Per-transaction limit</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$1,000,000</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Effective March 2022</w:t>
            </w:r>
          </w:p>
        </w:tc>
      </w:tr>
    </w:tbl>
    <w:p>
      <w:pPr>
        <w:pStyle w:val="Heading1"/>
        <w:spacing w:after="180" w:before="360"/>
      </w:pPr>
      <w:r>
        <w:rPr>
          <w:rFonts w:ascii="Arial" w:cs="Arial" w:eastAsia="Arial" w:hAnsi="Arial"/>
          <w:b/>
          <w:bCs/>
          <w:color w:val="1F4E79"/>
          <w:sz w:val="36"/>
          <w:szCs w:val="36"/>
        </w:rPr>
        <w:t xml:space="preserve">5. BAI2 Statement Import</w:t>
      </w:r>
    </w:p>
    <w:p>BAI2 (Bank Administration Institute v2) is the standard daily statement format for US corporate banking. Files arrive via SFTP from the bank to  and are picked up by the Hangfire job  running every 30 minutes during US business hours.</w:p>
    <w:p>
      <w:pPr>
        <w:pStyle w:val="Heading2"/>
        <w:spacing w:after="140" w:before="280"/>
      </w:pPr>
      <w:r>
        <w:rPr>
          <w:rFonts w:ascii="Arial" w:cs="Arial" w:eastAsia="Arial" w:hAnsi="Arial"/>
          <w:b/>
          <w:bCs/>
          <w:color w:val="2E75B6"/>
          <w:sz w:val="28"/>
          <w:szCs w:val="28"/>
        </w:rPr>
        <w:t xml:space="preserve">5.1 BAI2 Record Types Used</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Record</w:t>
            </w:r>
          </w:p>
        </w:tc>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Mapped to</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01 — File Header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Sender, receiver, file creation date/time</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m19us_bai2_file_imports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02 — Group Header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As-of date, currency, status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m19us_bai2_groups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03 — Account Identifier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Account number, type, balances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m19us_bank_accounts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16 — Transaction Detail</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Amount, type code, customer ref, bank ref</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m19us_bank_transactions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49 — Account Trailer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Account total, record count</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Validation only</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98 — Group Trailer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Group total, account count</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Validation only</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99 — File Trailer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File total, group count, record count</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Validation only</w:t>
            </w:r>
          </w:p>
        </w:tc>
      </w:tr>
    </w:tbl>
    <w:p>
      <w:pPr>
        <w:pStyle w:val="Heading2"/>
        <w:spacing w:after="140" w:before="280"/>
      </w:pPr>
      <w:r>
        <w:rPr>
          <w:rFonts w:ascii="Arial" w:cs="Arial" w:eastAsia="Arial" w:hAnsi="Arial"/>
          <w:b/>
          <w:bCs/>
          <w:color w:val="2E75B6"/>
          <w:sz w:val="28"/>
          <w:szCs w:val="28"/>
        </w:rPr>
        <w:t xml:space="preserve">5.2 BAI2 Type Codes (Common)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Type Code</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Direction</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010 / 015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Opening / Closing Ledger</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Balance</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040 / 045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Opening / Closing Available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Balance</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142</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Lockbox Deposit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Credit</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175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Check Paid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Debit</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195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Incoming Wire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Credit</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252</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Returned Item</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Debit</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357</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Adjustment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Either</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451</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ACH Receipt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Credit</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475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ACH Disbursement</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Debit</w:t>
            </w:r>
          </w:p>
        </w:tc>
      </w:tr>
      <w:tr>
        <w:tc>
          <w:tcPr>
            <w:tcW w:type="pct" w:w="20%"/>
            <w:tcMar>
              <w:top w:type="dxa" w:w="80"/>
              <w:left w:type="dxa" w:w="120"/>
              <w:bottom w:type="dxa" w:w="80"/>
              <w:right w:type="dxa" w:w="120"/>
            </w:tcMar>
            <w:vAlign w:val="top"/>
          </w:tcPr>
          <w:p>
            <w:pPr>
              <w:spacing w:after="0"/>
            </w:pPr>
            <w:r>
              <w:rPr>
                <w:rFonts w:ascii="Arial" w:cs="Arial" w:eastAsia="Arial" w:hAnsi="Arial"/>
                <w:sz w:val="20"/>
                <w:szCs w:val="20"/>
              </w:rPr>
              <w:t xml:space="preserve">495</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Outgoing Wire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Debit</w:t>
            </w:r>
          </w:p>
        </w:tc>
      </w:tr>
    </w:tbl>
    <w:p>
      <w:pPr>
        <w:pStyle w:val="Heading1"/>
        <w:spacing w:after="180" w:before="360"/>
      </w:pPr>
      <w:r>
        <w:rPr>
          <w:rFonts w:ascii="Arial" w:cs="Arial" w:eastAsia="Arial" w:hAnsi="Arial"/>
          <w:b/>
          <w:bCs/>
          <w:color w:val="1F4E79"/>
          <w:sz w:val="36"/>
          <w:szCs w:val="36"/>
        </w:rPr>
        <w:t xml:space="preserve">6. Wire Transfers (Fedwire / SWIFT)</w:t>
      </w:r>
    </w:p>
    <w:p>Domestic US wire transfers are originated via Fedwire (real-time gross settlement). International wires use SWIFT MT103. ULP integrates via the bank's host-to-host gateway (typically a REST API or SFTP). Wire requests require dual approval for amounts &gt;= $50,000 (configurable per tenant in ).</w:p>
    <w:p>
      <w:pPr>
        <w:pStyle w:val="ListParagraph"/>
        <w:numPr>
          <w:ilvl w:val="0"/>
          <w:numId w:val="2"/>
        </w:numPr>
        <w:spacing w:after="80"/>
      </w:pPr>
      <w:r>
        <w:rPr>
          <w:rFonts w:ascii="Arial" w:cs="Arial" w:eastAsia="Arial" w:hAnsi="Arial"/>
          <w:sz w:val="22"/>
          <w:szCs w:val="22"/>
        </w:rPr>
        <w:t xml:space="preserve">Wire request flow: User initiates -&gt; First approver reviews -&gt; Second approver (if amount &gt;= threshold) -&gt; Submitted to bank gateway -&gt; Bank returns IMAD/OMAD -&gt; Status webhook updates ULP -&gt; Settlement confirmation -&gt; GL posting.</w:t>
      </w:r>
    </w:p>
    <w:p>
      <w:pPr>
        <w:pStyle w:val="ListParagraph"/>
        <w:numPr>
          <w:ilvl w:val="0"/>
          <w:numId w:val="2"/>
        </w:numPr>
        <w:spacing w:after="80"/>
      </w:pPr>
      <w:r>
        <w:rPr>
          <w:rFonts w:ascii="Arial" w:cs="Arial" w:eastAsia="Arial" w:hAnsi="Arial"/>
          <w:sz w:val="22"/>
          <w:szCs w:val="22"/>
        </w:rPr>
        <w:t xml:space="preserve">OFAC screening: All wire beneficiaries screened against OFAC SDN list before submission. Hits block the wire and create a compliance review case in M22 Audit.</w:t>
      </w:r>
    </w:p>
    <w:p>
      <w:pPr>
        <w:pStyle w:val="Heading1"/>
        <w:spacing w:after="180" w:before="360"/>
      </w:pPr>
      <w:r>
        <w:rPr>
          <w:rFonts w:ascii="Arial" w:cs="Arial" w:eastAsia="Arial" w:hAnsi="Arial"/>
          <w:b/>
          <w:bCs/>
          <w:color w:val="1F4E79"/>
          <w:sz w:val="36"/>
          <w:szCs w:val="36"/>
        </w:rPr>
        <w:t xml:space="preserve">7. Database Schema</w:t>
      </w:r>
    </w:p>
    <w:p>
      <w:pPr>
        <w:shd w:fill="F2F2F2" w:color="F2F2F2" w:val="solid"/>
        <w:spacing w:after="120" w:before="60"/>
      </w:pPr>
      <w:r>
        <w:rPr>
          <w:rFonts w:ascii="Consolas" w:cs="Consolas" w:eastAsia="Consolas" w:hAnsi="Consolas"/>
          <w:sz w:val="20"/>
          <w:szCs w:val="20"/>
        </w:rPr>
        <w:t xml:space="preserve">    -- m19us_bank_accounts: US bank account registry
CREATE TABLE m19us_bank_accounts (
  id BIGINT UNSIGNED AUTO_INCREMENT PRIMARY KEY,
  tenant_id BIGINT UNSIGNED NOT NULL,
  account_id_external VARCHAR(64) NOT NULL,
  institution_id VARCHAR(32),
  account_nickname VARCHAR(120) NOT NULL,
  account_type ENUM('checking','savings','money_market','cd') NOT NULL,
  account_number_encrypted VARBINARY(512) NOT NULL,
  routing_number_encrypted VARBINARY(512) NOT NULL,
  routing_number_last4 CHAR(4),
  account_number_last4 CHAR(4),
  wire_routing_number_encrypted VARBINARY(512),
  currency CHAR(3) NOT NULL DEFAULT 'USD',
  status ENUM('pending_verification','active','suspended','closed') NOT NULL,
  verified_at TIMESTAMP NULL,
  verification_method ENUM('plaid_instant','micro_deposit','trial_credit','manual'),
  is_default_for_ach TINYINT(1) DEFAULT 0,
  is_default_for_wire TINYINT(1) DEFAULT 0,
  created_at TIMESTAMP DEFAULT CURRENT_TIMESTAMP,
  updated_at TIMESTAMP DEFAULT CURRENT_TIMESTAMP ON UPDATE CURRENT_TIMESTAMP,
  KEY ix_tenant (tenant_id),
  CONSTRAINT fk_m19us_acc_tenant FOREIGN KEY (tenant_id) REFERENCES m_tenant(id)
) ENGINE=InnoDB;
-- m19us_plaid_items: Plaid Item linkage
CREATE TABLE m19us_plaid_items (
  id BIGINT UNSIGNED AUTO_INCREMENT PRIMARY KEY,
  tenant_id BIGINT UNSIGNED NOT NULL,
  item_id VARCHAR(64) NOT NULL UNIQUE,
  access_token_encrypted VARBINARY(1024) NOT NULL,
  institution_id VARCHAR(32) NOT NULL,
  institution_name VARCHAR(120),
  available_products JSON,
  webhook_url VARCHAR(255),
  consent_expiration_time TIMESTAMP NULL,
  status ENUM('healthy','login_required','pending_expiration','error') DEFAULT 'healthy',
  last_successful_update TIMESTAMP NULL,
  error_code VARCHAR(64),
  created_at TIMESTAMP DEFAULT CURRENT_TIMESTAMP,
  KEY ix_tenant (tenant_id)
) ENGINE=InnoDB;
-- m19us_ach_batches: NACHA file batches (parent)
CREATE TABLE m19us_ach_batches (
  id BIGINT UNSIGNED AUTO_INCREMENT PRIMARY KEY,
  tenant_id BIGINT UNSIGNED NOT NULL,
  batch_number VARCHAR(20) NOT NULL,
  sec_code ENUM('PPD','CCD','CTX','WEB') NOT NULL,
  effective_date DATE NOT NULL,
  same_day TINYINT(1) DEFAULT 0,
  originating_account_id BIGINT UNSIGNED NOT NULL,
  total_debit_amount DECIMAL(18,2) DEFAULT 0,
  total_credit_amount DECIMAL(18,2) DEFAULT 0,
  entry_count INT UNSIGNED DEFAULT 0,
  entry_hash BIGINT UNSIGNED DEFAULT 0,
  nacha_file_path VARCHAR(500),
  nacha_file_sha256 CHAR(64),
  status ENUM('draft','approved','submitted','settled','returned','failed') NOT NULL,
  submitted_at TIMESTAMP NULL,
  settled_at TIMESTAMP NULL,
  bank_ack_trace_number VARCHAR(20),
  return_count INT UNSIGNED DEFAULT 0,
  created_at TIMESTAMP DEFAULT CURRENT_TIMESTAMP,
  KEY ix_tenant_status (tenant_id, status),
  KEY ix_eff_date (effective_date),
  CONSTRAINT fk_m19us_batch_acc FOREIGN KEY (originating_account_id) REFERENCES m19us_bank_accounts(id)
) ENGINE=InnoDB;
-- m19us_ach_entries: individual ACH transactions
CREATE TABLE m19us_ach_entries (
  id BIGINT UNSIGNED AUTO_INCREMENT PRIMARY KEY,
  batch_id BIGINT UNSIGNED NOT NULL,
  trace_number VARCHAR(15) NOT NULL,
  transaction_code CHAR(2) NOT NULL,
  receiving_routing_number VARCHAR(9) NOT NULL,
  receiving_account_number_encrypted VARBINARY(512) NOT NULL,
  receiving_account_last4 CHAR(4),
  amount DECIMAL(13,2) NOT NULL,
  individual_id VARCHAR(15),
  individual_name VARCHAR(22) NOT NULL,
  addenda_record_indicator TINYINT(1) DEFAULT 0,
  addenda_payment_related_info VARCHAR(80),
  related_entity_type ENUM('vendor','customer','employee','other'),
  related_entity_id BIGINT UNSIGNED,
  return_code VARCHAR(3),
  returned_at TIMESTAMP NULL,
  KEY ix_batch (batch_id),
  KEY ix_trace (trace_number),
  CONSTRAINT fk_m19us_entry_batch FOREIGN KEY (batch_id) REFERENCES m19us_ach_batches(id) ON DELETE CASCADE
) ENGINE=InnoDB;
-- m19us_bai2_file_imports: imported BAI2 files
CREATE TABLE m19us_bai2_file_imports (
  id BIGINT UNSIGNED AUTO_INCREMENT PRIMARY KEY,
  tenant_id BIGINT UNSIGNED NOT NULL,
  file_path VARCHAR(500) NOT NULL,
  file_sha256 CHAR(64) NOT NULL UNIQUE,
  sender_id VARCHAR(20),
  receiver_id VARCHAR(20),
  file_creation_date DATE NOT NULL,
  group_count INT UNSIGNED,
  record_count INT UNSIGNED,
  total_amount DECIMAL(18,2),
  status ENUM('pending','parsing','validated','failed','imported') NOT NULL,
  error_log TEXT,
  imported_at TIMESTAMP NULL,
  created_at TIMESTAMP DEFAULT CURRENT_TIMESTAMP
) ENGINE=InnoDB;
-- m19us_bank_transactions: from BAI2 type-16 records
CREATE TABLE m19us_bank_transactions (
  id BIGINT UNSIGNED AUTO_INCREMENT PRIMARY KEY,
  tenant_id BIGINT UNSIGNED NOT NULL,
  bank_account_id BIGINT UNSIGNED NOT NULL,
  bai2_import_id BIGINT UNSIGNED NOT NULL,
  posting_date DATE NOT NULL,
  effective_date DATE NULL,
  bai_type_code VARCHAR(3) NOT NULL,
  amount DECIMAL(15,2) NOT NULL,
  direction ENUM('debit','credit') NOT NULL,
  customer_reference VARCHAR(64),
  bank_reference VARCHAR(64),
  description TEXT,
  reconciled TINYINT(1) DEFAULT 0,
  reconciled_to_invoice_id BIGINT UNSIGNED NULL,
  reconciled_to_payment_id BIGINT UNSIGNED NULL,
  reconciled_at TIMESTAMP NULL,
  KEY ix_account_date (bank_account_id, posting_date),
  KEY ix_recon (reconciled),
  CONSTRAINT fk_m19us_txn_account FOREIGN KEY (bank_account_id) REFERENCES m19us_bank_accounts(id),
  CONSTRAINT fk_m19us_txn_import FOREIGN KEY (bai2_import_id) REFERENCES m19us_bai2_file_imports(id)
) ENGINE=InnoDB;</w:t>
      </w:r>
    </w:p>
    <w:p>
      <w:pPr>
        <w:pStyle w:val="Heading1"/>
        <w:spacing w:after="180" w:before="360"/>
      </w:pPr>
      <w:r>
        <w:rPr>
          <w:rFonts w:ascii="Arial" w:cs="Arial" w:eastAsia="Arial" w:hAnsi="Arial"/>
          <w:b/>
          <w:bCs/>
          <w:color w:val="1F4E79"/>
          <w:sz w:val="36"/>
          <w:szCs w:val="36"/>
        </w:rPr>
        <w:t xml:space="preserve">8. Reconciliation Rules Engine</w:t>
      </w:r>
    </w:p>
    <w:p>Auto-reconciliation matches BAI2 transactions to ULP invoices/payments using . Rules are tenant-configurable and evaluated in priority order.</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Rule Type</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Match Logic</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Confidence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Exact reference match</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customer_reference == invoice.invoice_number</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High (auto-apply)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Amount + date window</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amount == invoice.amount AND posting_date within +/-3d of due_date</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Medium (review queue)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Customer ID + amount</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customer_reference contains customer_external_id AND amount within +/-$0.50</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Medium</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Wire IMAD lookup</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bai_type_code IN (195,495) AND bank_reference matches m19us_wire_transfers.imad</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ACH trace match</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bai_type_code IN (451,475) AND amount + date matches m19us_ach_entries</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r>
    </w:tbl>
    <w:p>
      <w:pPr>
        <w:pStyle w:val="Heading1"/>
        <w:spacing w:after="180" w:before="360"/>
      </w:pPr>
      <w:r>
        <w:rPr>
          <w:rFonts w:ascii="Arial" w:cs="Arial" w:eastAsia="Arial" w:hAnsi="Arial"/>
          <w:b/>
          <w:bCs/>
          <w:color w:val="1F4E79"/>
          <w:sz w:val="36"/>
          <w:szCs w:val="36"/>
        </w:rPr>
        <w:t xml:space="preserve">9. Compliance &amp; Audit</w:t>
      </w:r>
    </w:p>
    <w:p>
      <w:pPr>
        <w:pStyle w:val="ListParagraph"/>
        <w:numPr>
          <w:ilvl w:val="0"/>
          <w:numId w:val="2"/>
        </w:numPr>
        <w:spacing w:after="80"/>
      </w:pPr>
      <w:r>
        <w:rPr>
          <w:rFonts w:ascii="Arial" w:cs="Arial" w:eastAsia="Arial" w:hAnsi="Arial"/>
          <w:sz w:val="22"/>
          <w:szCs w:val="22"/>
        </w:rPr>
        <w:t xml:space="preserve">OFAC SDN list refreshed daily via OFAC public XML feed; cached in Redis 24h; all wire/ACH beneficiaries screened pre-submission.</w:t>
      </w:r>
    </w:p>
    <w:p>
      <w:pPr>
        <w:pStyle w:val="ListParagraph"/>
        <w:numPr>
          <w:ilvl w:val="0"/>
          <w:numId w:val="2"/>
        </w:numPr>
        <w:spacing w:after="80"/>
      </w:pPr>
      <w:r>
        <w:rPr>
          <w:rFonts w:ascii="Arial" w:cs="Arial" w:eastAsia="Arial" w:hAnsi="Arial"/>
          <w:sz w:val="22"/>
          <w:szCs w:val="22"/>
        </w:rPr>
        <w:t xml:space="preserve">NACHA WEB SEC requires commercially reasonable fraudulent transaction detection — implemented via velocity rules (max $X per day per customer) + IP geolocation check.</w:t>
      </w:r>
    </w:p>
    <w:p>
      <w:pPr>
        <w:pStyle w:val="ListParagraph"/>
        <w:numPr>
          <w:ilvl w:val="0"/>
          <w:numId w:val="2"/>
        </w:numPr>
        <w:spacing w:after="80"/>
      </w:pPr>
      <w:r>
        <w:rPr>
          <w:rFonts w:ascii="Arial" w:cs="Arial" w:eastAsia="Arial" w:hAnsi="Arial"/>
          <w:sz w:val="22"/>
          <w:szCs w:val="22"/>
        </w:rPr>
        <w:t xml:space="preserve">Reg E (consumer protection): unauthorized ACH debits must be reversible within 60 days. ULP exposes "Dispute Transaction" workflow generating R10 return.</w:t>
      </w:r>
    </w:p>
    <w:p>
      <w:pPr>
        <w:pStyle w:val="ListParagraph"/>
        <w:numPr>
          <w:ilvl w:val="0"/>
          <w:numId w:val="2"/>
        </w:numPr>
        <w:spacing w:after="80"/>
      </w:pPr>
      <w:r>
        <w:rPr>
          <w:rFonts w:ascii="Arial" w:cs="Arial" w:eastAsia="Arial" w:hAnsi="Arial"/>
          <w:sz w:val="22"/>
          <w:szCs w:val="22"/>
        </w:rPr>
        <w:t xml:space="preserve">SOC 1 Type II audit trail: all banking operations logged to immutable audit log (m22_audit_log) with cryptographic chain hash.</w:t>
      </w:r>
    </w:p>
    <w:p>
      <w:pPr>
        <w:pStyle w:val="ListParagraph"/>
        <w:numPr>
          <w:ilvl w:val="0"/>
          <w:numId w:val="2"/>
        </w:numPr>
        <w:spacing w:after="80"/>
      </w:pPr>
      <w:r>
        <w:rPr>
          <w:rFonts w:ascii="Arial" w:cs="Arial" w:eastAsia="Arial" w:hAnsi="Arial"/>
          <w:sz w:val="22"/>
          <w:szCs w:val="22"/>
        </w:rPr>
        <w:t xml:space="preserve">PCI-DSS: card data is NEVER stored in M19; tokenized via Stripe/Authorize.net at M16 layer.</w:t>
      </w:r>
    </w:p>
    <w:p>
      <w:pPr>
        <w:pStyle w:val="Heading1"/>
        <w:spacing w:after="180" w:before="360"/>
      </w:pPr>
      <w:r>
        <w:rPr>
          <w:rFonts w:ascii="Arial" w:cs="Arial" w:eastAsia="Arial" w:hAnsi="Arial"/>
          <w:b/>
          <w:bCs/>
          <w:color w:val="1F4E79"/>
          <w:sz w:val="36"/>
          <w:szCs w:val="36"/>
        </w:rPr>
        <w:t xml:space="preserve">10. Indian Banking Continuity (Recap)</w:t>
      </w:r>
    </w:p>
    <w:p>
      <w:pPr>
        <w:spacing w:after="120"/>
      </w:pPr>
      No US-specific code, schema, or UI is loaded for Indian tenants. The plugin resolution at runtime () reads  and dispatches to the IN-plugin (NEFT/RTGS/IMPS/UPI/NACH) or US-plugin (this document) accordingly. Indian tenants will see zero behavioral or schema change post-rework — only new optional columns on shared base tables.
    </w:p>
    <w:p>
      <w:pPr>
        <w:spacing w:after="80"/>
      </w:pPr>
      <w:r>
        <w:t xml:space="preserve"/>
      </w:r>
    </w:p>
    <w:p>
      <w:pPr>
        <w:spacing w:after="120"/>
      </w:pPr>
      <text>— End of M19-US Banking LLD v1.0 —</text>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ULP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ULP — Module 19 US Banking LLD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4E79"/>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 w:type="paragraph" w:styleId="Heading4">
    <w:name w:val="Heading 4"/>
    <w:basedOn w:val="Normal"/>
    <w:next w:val="Normal"/>
    <w:qFormat/>
    <w:pPr>
      <w:spacing w:after="9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 — Module 19 US Banking LLD v1.0</dc:title>
  <dc:creator>ULP Project Team</dc:creator>
  <cp:lastModifiedBy>Un-named</cp:lastModifiedBy>
  <cp:revision>1</cp:revision>
  <dcterms:created xsi:type="dcterms:W3CDTF">2026-05-01T21:27:51.088Z</dcterms:created>
  <dcterms:modified xsi:type="dcterms:W3CDTF">2026-05-01T21:27:51.089Z</dcterms:modified>
</cp:coreProperties>
</file>

<file path=docProps/custom.xml><?xml version="1.0" encoding="utf-8"?>
<Properties xmlns="http://schemas.openxmlformats.org/officeDocument/2006/custom-properties" xmlns:vt="http://schemas.openxmlformats.org/officeDocument/2006/docPropsVTypes"/>
</file>