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pPr>
      <w:r>
        <w:t xml:space="preserve"/>
      </w:r>
    </w:p>
    <w:p>
      <w:pPr>
        <w:spacing w:after="240" w:before="0"/>
        <w:jc w:val="center"/>
      </w:pPr>
      <w:r>
        <w:rPr>
          <w:rFonts w:ascii="Arial" w:cs="Arial" w:eastAsia="Arial" w:hAnsi="Arial"/>
          <w:b/>
          <w:bCs/>
          <w:color w:val="1F4E79"/>
          <w:sz w:val="56"/>
          <w:szCs w:val="56"/>
        </w:rPr>
        <w:t xml:space="preserve">Module 20 — HR &amp; Payroll (US)</w:t>
      </w:r>
    </w:p>
    <w:p>
      <w:pPr>
        <w:spacing w:after="240" w:before="0"/>
        <w:jc w:val="center"/>
      </w:pPr>
      <w:r>
        <w:rPr>
          <w:rFonts w:ascii="Arial" w:cs="Arial" w:eastAsia="Arial" w:hAnsi="Arial"/>
          <w:i/>
          <w:iCs/>
          <w:color w:val="666666"/>
          <w:sz w:val="28"/>
          <w:szCs w:val="28"/>
        </w:rPr>
        <w:t xml:space="preserve">Low-Level Design — US HR, Payroll, Tax Withholding &amp; ACA</w:t>
      </w:r>
    </w:p>
    <w:p>
      <w:pPr>
        <w:spacing w:after="240" w:before="480"/>
        <w:jc w:val="center"/>
      </w:pPr>
      <w:r>
        <w:rPr>
          <w:rFonts w:ascii="Arial" w:cs="Arial" w:eastAsia="Arial" w:hAnsi="Arial"/>
          <w:b/>
          <w:bCs/>
          <w:color w:val="1F4E79"/>
          <w:sz w:val="28"/>
          <w:szCs w:val="28"/>
        </w:rPr>
        <w:t xml:space="preserve">Version 1.0</w:t>
      </w:r>
    </w:p>
    <w:p>
      <w:pPr>
        <w:spacing w:after="240"/>
        <w:jc w:val="center"/>
      </w:pPr>
      <w:r>
        <w:rPr>
          <w:rFonts w:ascii="Arial" w:cs="Arial" w:eastAsia="Arial" w:hAnsi="Arial"/>
          <w:color w:val="666666"/>
          <w:sz w:val="22"/>
          <w:szCs w:val="22"/>
        </w:rPr>
        <w:t xml:space="preserve">02-May-2026</w:t>
      </w:r>
    </w:p>
    <w:p>
      <w:pPr>
        <w:spacing w:after="0" w:before="1440"/>
        <w:jc w:val="center"/>
      </w:pPr>
      <w:r>
        <w:rPr>
          <w:rFonts w:ascii="Arial" w:cs="Arial" w:eastAsia="Arial" w:hAnsi="Arial"/>
          <w:i/>
          <w:iCs/>
          <w:color w:val="999999"/>
          <w:sz w:val="20"/>
          <w:szCs w:val="20"/>
        </w:rPr>
        <w:t xml:space="preserve">Audience: HR Module Engineers, Payroll Compliance, US Tenant Onboarding</w:t>
      </w:r>
    </w:p>
    <w:p>
      <w:r>
        <w:br w:type="page"/>
      </w:r>
    </w:p>
    <w:p>
      <w:pPr>
        <w:pStyle w:val="Heading1"/>
        <w:spacing w:after="180" w:before="360"/>
      </w:pPr>
      <w:r>
        <w:rPr>
          <w:rFonts w:ascii="Arial" w:cs="Arial" w:eastAsia="Arial" w:hAnsi="Arial"/>
          <w:b/>
          <w:bCs/>
          <w:color w:val="1F4E79"/>
          <w:sz w:val="36"/>
          <w:szCs w:val="36"/>
        </w:rPr>
        <w:t xml:space="preserve">1. Purpose &amp; Scope</w:t>
      </w:r>
    </w:p>
    <w:p>This LLD defines the US-specific HR and Payroll plugin () for the Unified Logistics Platform. It covers employee onboarding (I-9, W-4), payroll calculation (FICA, FUTA, SUTA, federal/state income tax), payroll filings (941, 940, W-2, 1099-NEC), benefits administration, and ACA compliance (1094-C/1095-C).</w:p>
    <w:p>
      <w:pPr>
        <w:pStyle w:val="ListParagraph"/>
        <w:numPr>
          <w:ilvl w:val="0"/>
          <w:numId w:val="2"/>
        </w:numPr>
        <w:spacing w:after="80"/>
      </w:pPr>
      <w:r>
        <w:rPr>
          <w:rFonts w:ascii="Arial" w:cs="Arial" w:eastAsia="Arial" w:hAnsi="Arial"/>
          <w:sz w:val="22"/>
          <w:szCs w:val="22"/>
        </w:rPr>
        <w:t xml:space="preserve">In scope: Employee lifecycle, W-4 withholding, I-9 employment eligibility, payroll runs (semi-monthly/biweekly/weekly), federal &amp; state tax withholding, FICA (Social Security + Medicare), FUTA, SUTA per state, ACA reporting, garnishments, 401(k)/HSA pre-tax, year-end W-2/1099 generation, e-file via FIRE/SSA Business Services Online.</w:t>
      </w:r>
    </w:p>
    <w:p>
      <w:pPr>
        <w:pStyle w:val="ListParagraph"/>
        <w:numPr>
          <w:ilvl w:val="0"/>
          <w:numId w:val="2"/>
        </w:numPr>
        <w:spacing w:after="80"/>
      </w:pPr>
      <w:r>
        <w:rPr>
          <w:rFonts w:ascii="Arial" w:cs="Arial" w:eastAsia="Arial" w:hAnsi="Arial"/>
          <w:sz w:val="22"/>
          <w:szCs w:val="22"/>
        </w:rPr>
        <w:t xml:space="preserve">Out of scope: Time &amp; attendance (handled by separate HCM integration; ULP imports approved hours), full benefits broker integration (ULP stores plan elections; broker handles enrollment), state-specific paid family leave for jurisdictions outside CA/NY/NJ/MA/WA/CT (Phase 2).</w:t>
      </w:r>
    </w:p>
    <w:p>
      <w:pPr>
        <w:pStyle w:val="ListParagraph"/>
        <w:numPr>
          <w:ilvl w:val="0"/>
          <w:numId w:val="2"/>
        </w:numPr>
        <w:spacing w:after="80"/>
      </w:pPr>
      <w:r>
        <w:rPr>
          <w:rFonts w:ascii="Arial" w:cs="Arial" w:eastAsia="Arial" w:hAnsi="Arial"/>
          <w:sz w:val="22"/>
          <w:szCs w:val="22"/>
        </w:rPr>
        <w:t xml:space="preserve">Indian HR &amp; Payroll (PF, ESI, Form 16, Form 24Q, Professional Tax, Gratuity, LWF) is preserved unchanged in M20.IN.HRPayroll plugin.</w:t>
      </w:r>
    </w:p>
    <w:p>
      <w:pPr>
        <w:pStyle w:val="Heading2"/>
        <w:spacing w:after="140" w:before="280"/>
      </w:pPr>
      <w:r>
        <w:rPr>
          <w:rFonts w:ascii="Arial" w:cs="Arial" w:eastAsia="Arial" w:hAnsi="Arial"/>
          <w:b/>
          <w:bCs/>
          <w:color w:val="2E75B6"/>
          <w:sz w:val="28"/>
          <w:szCs w:val="28"/>
        </w:rPr>
        <w:t xml:space="preserve">Indian Client Continuity Statement</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tblGrid>
      <w:tr>
        <w:trPr>
          <w:tblHeader/>
        </w:trPr>
        <w:tc>
          <w:tcPr>
            <w:tcW w:type="pct" w:w="5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Concern</w:t>
            </w:r>
          </w:p>
        </w:tc>
        <w:tc>
          <w:tcPr>
            <w:tcW w:type="pct" w:w="5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Will Indian PF / ESI deductions change?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NO — preserved in M20.IN.HRPayroll plugin.</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Will Indian Form 16 / Form 24Q quarterly TDS filing change?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NO — IN-specific TDS engine continues.</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Will Indian Professional Tax (state-wise) change?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NO — state-wise PT slabs unchanged.</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Will Indian Gratuity / Leave Encashment / LWF change?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NO — IN labour-law calculations preserved.</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Will Indian payslip format change?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NO — IN payslip template unchanged; US payslip is a separate template.</w:t>
            </w:r>
          </w:p>
        </w:tc>
      </w:tr>
      <w:tr>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Will Indian salary structure (CTC components) change?</w:t>
            </w:r>
          </w:p>
        </w:tc>
        <w:tc>
          <w:tcPr>
            <w:tcW w:type="pct" w:w="50%"/>
            <w:tcMar>
              <w:top w:type="dxa" w:w="80"/>
              <w:left w:type="dxa" w:w="120"/>
              <w:bottom w:type="dxa" w:w="80"/>
              <w:right w:type="dxa" w:w="120"/>
            </w:tcMar>
            <w:vAlign w:val="top"/>
          </w:tcPr>
          <w:p>
            <w:pPr>
              <w:spacing w:after="0"/>
            </w:pPr>
            <w:r>
              <w:rPr>
                <w:rFonts w:ascii="Arial" w:cs="Arial" w:eastAsia="Arial" w:hAnsi="Arial"/>
                <w:sz w:val="20"/>
                <w:szCs w:val="20"/>
              </w:rPr>
              <w:t xml:space="preserve">NO — Basic/HRA/Conveyance/Special Allowance preserved.</w:t>
            </w:r>
          </w:p>
        </w:tc>
      </w:tr>
    </w:tbl>
    <w:p>
      <w:pPr>
        <w:pStyle w:val="Heading1"/>
        <w:spacing w:after="180" w:before="360"/>
      </w:pPr>
      <w:r>
        <w:rPr>
          <w:rFonts w:ascii="Arial" w:cs="Arial" w:eastAsia="Arial" w:hAnsi="Arial"/>
          <w:b/>
          <w:bCs/>
          <w:color w:val="1F4E79"/>
          <w:sz w:val="36"/>
          <w:szCs w:val="36"/>
        </w:rPr>
        <w:t xml:space="preserve">2. US HR/Payroll Domain Concepts</w:t>
      </w:r>
    </w:p>
    <w:p>
      <w:pPr>
        <w:pStyle w:val="Heading2"/>
        <w:spacing w:after="140" w:before="280"/>
      </w:pPr>
      <w:r>
        <w:rPr>
          <w:rFonts w:ascii="Arial" w:cs="Arial" w:eastAsia="Arial" w:hAnsi="Arial"/>
          <w:b/>
          <w:bCs/>
          <w:color w:val="2E75B6"/>
          <w:sz w:val="28"/>
          <w:szCs w:val="28"/>
        </w:rPr>
        <w:t xml:space="preserve">2.1 IN vs US HR/Payroll Side-by-Side</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Concept</w:t>
            </w:r>
          </w:p>
        </w:tc>
        <w:tc>
          <w:tcPr>
            <w:tcW w:type="pct" w:w="37%"/>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India (preserved)</w:t>
            </w:r>
          </w:p>
        </w:tc>
        <w:tc>
          <w:tcPr>
            <w:tcW w:type="pct" w:w="3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US (new)</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Employee tax form</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Form 16 (annual)</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W-2 (annual) / 1099-NEC (contractors)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Withholding declaration</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Form 12BB (declarations) + Form 16 series</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Form W-4 (Employee Withholding)</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Eligibility verification</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PAN/Aadhaar</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Form I-9 + E-Verify (states requiring)</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Social security</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EPF (12% emp + 12% empr) / EPS / NPS</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FICA Social Security 6.2% + Medicare 1.45%</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Health insurance mandate</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ESI (if salary &lt;= Rs.21k); group mediclaim</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ACA Employer Mandate (&gt;= 50 FTE, MEC + affordability)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Unemployment tax</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N/A (separate state schemes)</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FUTA (federal 6%) + SUTA (state-specific)</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Statutory bonus</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Bonus Act (8.33%-20%, salary &lt;= Rs.21k)</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Discretionary; bonus runs separately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Gratuity</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Payment of Gratuity Act (&gt;= 5 years)</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401(k) / IRA retirement; no gratuity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Leave encashment</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Earned leave on separation</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PTO accrual (state-specific payout rules)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Quarterly filing</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Form 24Q (TDS) / Form 27Q</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Form 941 (federal payroll tax)</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Annual filing</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Form 24 / Form 16 issuance</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Form 940 (FUTA) / W-3 (with W-2s)</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Pay frequency</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Monthly typical</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Bi-weekly / semi-monthly / weekly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Currency</w:t>
            </w:r>
          </w:p>
        </w:tc>
        <w:tc>
          <w:tcPr>
            <w:tcW w:type="pct" w:w="37%"/>
            <w:tcMar>
              <w:top w:type="dxa" w:w="80"/>
              <w:left w:type="dxa" w:w="120"/>
              <w:bottom w:type="dxa" w:w="80"/>
              <w:right w:type="dxa" w:w="120"/>
            </w:tcMar>
            <w:vAlign w:val="top"/>
          </w:tcPr>
          <w:p>
            <w:pPr>
              <w:spacing w:after="0"/>
            </w:pPr>
            <w:r>
              <w:rPr>
                <w:rFonts w:ascii="Arial" w:cs="Arial" w:eastAsia="Arial" w:hAnsi="Arial"/>
                <w:sz w:val="20"/>
                <w:szCs w:val="20"/>
              </w:rPr>
              <w:t xml:space="preserve">INR</w:t>
            </w:r>
          </w:p>
        </w:tc>
        <w:tc>
          <w:tcPr>
            <w:tcW w:type="pct" w:w="38%"/>
            <w:tcMar>
              <w:top w:type="dxa" w:w="80"/>
              <w:left w:type="dxa" w:w="120"/>
              <w:bottom w:type="dxa" w:w="80"/>
              <w:right w:type="dxa" w:w="120"/>
            </w:tcMar>
            <w:vAlign w:val="top"/>
          </w:tcPr>
          <w:p>
            <w:pPr>
              <w:spacing w:after="0"/>
            </w:pPr>
            <w:r>
              <w:rPr>
                <w:rFonts w:ascii="Arial" w:cs="Arial" w:eastAsia="Arial" w:hAnsi="Arial"/>
                <w:sz w:val="20"/>
                <w:szCs w:val="20"/>
              </w:rPr>
              <w:t xml:space="preserve">USD</w:t>
            </w:r>
          </w:p>
        </w:tc>
      </w:tr>
    </w:tbl>
    <w:p>
      <w:pPr>
        <w:pStyle w:val="Heading2"/>
        <w:spacing w:after="140" w:before="280"/>
      </w:pPr>
      <w:r>
        <w:rPr>
          <w:rFonts w:ascii="Arial" w:cs="Arial" w:eastAsia="Arial" w:hAnsi="Arial"/>
          <w:b/>
          <w:bCs/>
          <w:color w:val="2E75B6"/>
          <w:sz w:val="28"/>
          <w:szCs w:val="28"/>
        </w:rPr>
        <w:t xml:space="preserve">2.2 US Federal Payroll Tax Components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Tax</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Rate (2026)</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Wage Base</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Paid By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Federal Income Tax (FIT)</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Per W-4 (graduated)</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No cap</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Employee</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Social Security (OASDI)</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6.2% + 6.2%</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$176,100</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Employee + Employer</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Medicare</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1.45% + 1.45%</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No cap</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Employee + Employer</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Additional Medicare</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0.9%</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Wages &gt; $200,000</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Employee only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FUTA</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6.0% (after 5.4% credit = 0.6% net)</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$7,000</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Employer only</w:t>
            </w:r>
          </w:p>
        </w:tc>
      </w:tr>
      <w:tr>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SUTA</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State-specific (0.0% to 14.0%)</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State-specific</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Employer (some states also employee)</w:t>
            </w:r>
          </w:p>
        </w:tc>
      </w:tr>
    </w:tbl>
    <w:p>
      <w:pPr>
        <w:pStyle w:val="Heading2"/>
        <w:spacing w:after="140" w:before="280"/>
      </w:pPr>
      <w:r>
        <w:rPr>
          <w:rFonts w:ascii="Arial" w:cs="Arial" w:eastAsia="Arial" w:hAnsi="Arial"/>
          <w:b/>
          <w:bCs/>
          <w:color w:val="2E75B6"/>
          <w:sz w:val="28"/>
          <w:szCs w:val="28"/>
        </w:rPr>
        <w:t xml:space="preserve">2.3 SUTA Wage Base by Selected States (2026)</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4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State</w:t>
            </w:r>
          </w:p>
        </w:tc>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SUTA Wage Base</w:t>
            </w:r>
          </w:p>
        </w:tc>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New Employer Rate</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California</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$7,000</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3.4%</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New York</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$12,800</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4.025%</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Texas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$9,000</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2.7%</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Florida</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$7,000</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2.7%</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Illinois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$13,590</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3.95%</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Washington</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$72,800</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~1.0% (varies)</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Oregon</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$54,300</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2.4%</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Pennsylvania</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$10,000</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3.689%</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Massachusetts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$15,000</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2.42%</w:t>
            </w:r>
          </w:p>
        </w:tc>
      </w:tr>
      <w:tr>
        <w:tc>
          <w:tcPr>
            <w:tcW w:type="pct" w:w="40%"/>
            <w:tcMar>
              <w:top w:type="dxa" w:w="80"/>
              <w:left w:type="dxa" w:w="120"/>
              <w:bottom w:type="dxa" w:w="80"/>
              <w:right w:type="dxa" w:w="120"/>
            </w:tcMar>
            <w:vAlign w:val="top"/>
          </w:tcPr>
          <w:p>
            <w:pPr>
              <w:spacing w:after="0"/>
            </w:pPr>
            <w:r>
              <w:rPr>
                <w:rFonts w:ascii="Arial" w:cs="Arial" w:eastAsia="Arial" w:hAnsi="Arial"/>
                <w:sz w:val="20"/>
                <w:szCs w:val="20"/>
              </w:rPr>
              <w:t xml:space="preserve">Georgia</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$9,500</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2.7%</w:t>
            </w:r>
          </w:p>
        </w:tc>
      </w:tr>
    </w:tbl>
    <w:p>
      <w:pPr>
        <w:spacing w:after="120"/>
      </w:pPr>
      <w:r>
        <w:rPr>
          <w:rFonts w:ascii="Arial" w:cs="Arial" w:eastAsia="Arial" w:hAnsi="Arial"/>
          <w:sz w:val="22"/>
          <w:szCs w:val="22"/>
        </w:rPr>
        <w:t xml:space="preserve">Full 50-state SUTA wage base table is loaded into m20us_suta_rates table on tenant onboarding; refreshed annually via FederalReg + state DOL feeds.</w:t>
      </w:r>
    </w:p>
    <w:p>
      <w:pPr>
        <w:pStyle w:val="Heading1"/>
        <w:spacing w:after="180" w:before="360"/>
      </w:pPr>
      <w:r>
        <w:rPr>
          <w:rFonts w:ascii="Arial" w:cs="Arial" w:eastAsia="Arial" w:hAnsi="Arial"/>
          <w:b/>
          <w:bCs/>
          <w:color w:val="1F4E79"/>
          <w:sz w:val="36"/>
          <w:szCs w:val="36"/>
        </w:rPr>
        <w:t xml:space="preserve">3. Employee Onboarding (Form W-4, I-9)</w:t>
      </w:r>
    </w:p>
    <w:p>
      <w:pPr>
        <w:pStyle w:val="Heading2"/>
        <w:spacing w:after="140" w:before="280"/>
      </w:pPr>
      <w:r>
        <w:rPr>
          <w:rFonts w:ascii="Arial" w:cs="Arial" w:eastAsia="Arial" w:hAnsi="Arial"/>
          <w:b/>
          <w:bCs/>
          <w:color w:val="2E75B6"/>
          <w:sz w:val="28"/>
          <w:szCs w:val="28"/>
        </w:rPr>
        <w:t xml:space="preserve">3.1 W-4 (Employee Withholding Certificate)</w:t>
      </w:r>
    </w:p>
    <w:p>Form W-4 captures the employee's withholding preferences. ULP collects via the  endpoint; data persists to . The 2020-revised W-4 uses dollar amounts, not allowances.</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W-4 Field</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Persisted As</w:t>
            </w:r>
          </w:p>
        </w:tc>
        <w:tc>
          <w:tcPr>
            <w:tcW w:type="pct" w:w="3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Used By</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Filing Status</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m20us_employee_w4.filing_status (single/mfj/hoh)</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FIT calc</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Step 2 — Multiple jobs / spouse works</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two_jobs_flag</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Adjust withholding tables</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Step 3 — Dependents (claimed amount)</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dependent_amount_usd</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Reduce withholding</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Step 4a — Other income (not from jobs)</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other_income_usd</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Increase withholding</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Step 4b — Deductions</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deductions_usd</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Reduce withholding</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Step 4c — Extra withholding per pay period</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extra_withholding_usd</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Add flat to FIT</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Effective from</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effective_date</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Mid-year changes</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Signed digitally</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signature_hash, signed_at_utc</w:t>
            </w:r>
          </w:p>
        </w:tc>
        <w:tc>
          <w:tcPr>
            <w:tcW w:type="pct" w:w="35%"/>
            <w:tcMar>
              <w:top w:type="dxa" w:w="80"/>
              <w:left w:type="dxa" w:w="120"/>
              <w:bottom w:type="dxa" w:w="80"/>
              <w:right w:type="dxa" w:w="120"/>
            </w:tcMar>
            <w:vAlign w:val="top"/>
          </w:tcPr>
          <w:p>
            <w:pPr>
              <w:spacing w:after="0"/>
            </w:pPr>
            <w:r>
              <w:rPr>
                <w:rFonts w:ascii="Arial" w:cs="Arial" w:eastAsia="Arial" w:hAnsi="Arial"/>
                <w:sz w:val="20"/>
                <w:szCs w:val="20"/>
              </w:rPr>
              <w:t xml:space="preserve">Audit / IRS request</w:t>
            </w:r>
          </w:p>
        </w:tc>
      </w:tr>
    </w:tbl>
    <w:p>
      <w:pPr>
        <w:pStyle w:val="Heading2"/>
        <w:spacing w:after="140" w:before="280"/>
      </w:pPr>
      <w:r>
        <w:rPr>
          <w:rFonts w:ascii="Arial" w:cs="Arial" w:eastAsia="Arial" w:hAnsi="Arial"/>
          <w:b/>
          <w:bCs/>
          <w:color w:val="2E75B6"/>
          <w:sz w:val="28"/>
          <w:szCs w:val="28"/>
        </w:rPr>
        <w:t xml:space="preserve">3.2 Form I-9 (Employment Eligibility Verification)</w:t>
      </w:r>
    </w:p>
    <w:p>
      <w:pPr>
        <w:pStyle w:val="ListParagraph"/>
        <w:numPr>
          <w:ilvl w:val="0"/>
          <w:numId w:val="2"/>
        </w:numPr>
        <w:spacing w:after="80"/>
      </w:pPr>
      <w:r>
        <w:rPr>
          <w:rFonts w:ascii="Arial" w:cs="Arial" w:eastAsia="Arial" w:hAnsi="Arial"/>
          <w:sz w:val="22"/>
          <w:szCs w:val="22"/>
        </w:rPr>
        <w:t xml:space="preserve">Section 1: Employee completes by first day of work.</w:t>
      </w:r>
    </w:p>
    <w:p>
      <w:pPr>
        <w:pStyle w:val="ListParagraph"/>
        <w:numPr>
          <w:ilvl w:val="0"/>
          <w:numId w:val="2"/>
        </w:numPr>
        <w:spacing w:after="80"/>
      </w:pPr>
      <w:r>
        <w:rPr>
          <w:rFonts w:ascii="Arial" w:cs="Arial" w:eastAsia="Arial" w:hAnsi="Arial"/>
          <w:sz w:val="22"/>
          <w:szCs w:val="22"/>
        </w:rPr>
        <w:t xml:space="preserve">Section 2: Employer reviews acceptable documents (List A, or List B + List C) within 3 business days of hire.</w:t>
      </w:r>
    </w:p>
    <w:p>
      <w:pPr>
        <w:pStyle w:val="ListParagraph"/>
        <w:numPr>
          <w:ilvl w:val="0"/>
          <w:numId w:val="2"/>
        </w:numPr>
        <w:spacing w:after="80"/>
      </w:pPr>
      <w:r>
        <w:rPr>
          <w:rFonts w:ascii="Arial" w:cs="Arial" w:eastAsia="Arial" w:hAnsi="Arial"/>
          <w:sz w:val="22"/>
          <w:szCs w:val="22"/>
        </w:rPr>
        <w:t xml:space="preserve">Document retention: 3 years after hire OR 1 year after termination, whichever is LATER.</w:t>
      </w:r>
    </w:p>
    <w:p>
      <w:pPr>
        <w:pStyle w:val="ListParagraph"/>
        <w:numPr>
          <w:ilvl w:val="0"/>
          <w:numId w:val="2"/>
        </w:numPr>
        <w:spacing w:after="80"/>
      </w:pPr>
      <w:r>
        <w:rPr>
          <w:rFonts w:ascii="Arial" w:cs="Arial" w:eastAsia="Arial" w:hAnsi="Arial"/>
          <w:sz w:val="22"/>
          <w:szCs w:val="22"/>
        </w:rPr>
        <w:t xml:space="preserve">E-Verify: Mandatory for federal contractors, several states (AZ, AL, MS, SC, TN, UT, NC, GA), and many counties. ULP integrates via E-Verify SOAP API; case results stored in m20us_everify_cases.</w:t>
      </w:r>
    </w:p>
    <w:p>
      <w:pPr>
        <w:pStyle w:val="Heading1"/>
        <w:spacing w:after="180" w:before="360"/>
      </w:pPr>
      <w:r>
        <w:rPr>
          <w:rFonts w:ascii="Arial" w:cs="Arial" w:eastAsia="Arial" w:hAnsi="Arial"/>
          <w:b/>
          <w:bCs/>
          <w:color w:val="1F4E79"/>
          <w:sz w:val="36"/>
          <w:szCs w:val="36"/>
        </w:rPr>
        <w:t xml:space="preserve">4. Payroll Calculation Engine</w:t>
      </w:r>
    </w:p>
    <w:p>
      <w:pPr>
        <w:pStyle w:val="Heading2"/>
        <w:spacing w:after="140" w:before="280"/>
      </w:pPr>
      <w:r>
        <w:rPr>
          <w:rFonts w:ascii="Arial" w:cs="Arial" w:eastAsia="Arial" w:hAnsi="Arial"/>
          <w:b/>
          <w:bCs/>
          <w:color w:val="2E75B6"/>
          <w:sz w:val="28"/>
          <w:szCs w:val="28"/>
        </w:rPr>
        <w:t xml:space="preserve">4.1 Calculation Pipeline (Per Employee, Per Pay Period)</w:t>
      </w:r>
    </w:p>
    <w:p>
      <w:pPr>
        <w:shd w:fill="F2F2F2" w:color="F2F2F2" w:val="solid"/>
        <w:spacing w:after="120" w:before="60"/>
      </w:pPr>
      <w:r>
        <w:rPr>
          <w:rFonts w:ascii="Consolas" w:cs="Consolas" w:eastAsia="Consolas" w:hAnsi="Consolas"/>
          <w:sz w:val="20"/>
          <w:szCs w:val="20"/>
        </w:rPr>
        <w:t xml:space="preserve">    PayrollCalculator pipeline:
  1. Load employee context (state, locality, W-4, YTD totals, deductions, garnishments)
  2. Aggregate gross wages: regular hours x rate + OT hours x rate x 1.5 + bonus + commission
  3. Calculate pre-tax deductions:
       - 401(k) traditional (cap 2026: $23,000; +$7,500 catch-up if age 50+)
       - HSA (cap 2026: $4,300 self / $8,550 family; +$1,000 if age 55+)
       - Section 125 (health/dental/vision premiums, FSA)
       - Subtract from gross =&gt; taxable_wages
  4. Calculate federal income tax (FIT):
       - Use IRS Publication 15-T percentage method tables
       - Apply W-4 step 2/3/4 adjustments
       - Add Step 4c extra withholding (flat per period)
  5. Calculate FICA:
       - Social Security: 6.2% of taxable_wages (until YTD ss_wages reaches $176,100)
       - Medicare: 1.45% of taxable_wages
       - Additional Medicare: 0.9% on wages over $200,000 YTD
  6. Calculate state income tax (SIT):
       - Resolve via m20us_sit_engine plugin per work_state + resident_state
       - 9 no-tax states: AK, FL, NV, NH, SD, TN, TX, WA, WY
       - Reciprocal agreements applied (e.g., NJ-PA, IL-WI)
  7. Calculate local taxes (city/county):
       - NYC, Yonkers, Philadelphia, Detroit, San Francisco (paid leave),
         Ohio cities, etc. Loaded from m20us_local_tax_rates.
  8. Calculate post-tax deductions:
       - Roth 401(k), garnishments (CCPA-capped),
         child support (PCSE), union dues, disability premiums
  9. Calculate employer taxes (do not affect net pay):
       - Employer FICA matching, FUTA, SUTA, State Disability (CA SDI, NY SDI, NJ TDI),
         Paid Family Leave (CA PFL, NY PFL, NJ FLI, MA PFML, WA PFML)
 10. Net pay = gross - pre_tax - FIT - FICA_employee - SIT - local - post_tax
 11. Persist to m20us_payroll_run_lines, m20us_pay_stubs, m20us_tax_liabilities</w:t>
      </w:r>
    </w:p>
    <w:p>
      <w:pPr>
        <w:pStyle w:val="Heading2"/>
        <w:spacing w:after="140" w:before="280"/>
      </w:pPr>
      <w:r>
        <w:rPr>
          <w:rFonts w:ascii="Arial" w:cs="Arial" w:eastAsia="Arial" w:hAnsi="Arial"/>
          <w:b/>
          <w:bCs/>
          <w:color w:val="2E75B6"/>
          <w:sz w:val="28"/>
          <w:szCs w:val="28"/>
        </w:rPr>
        <w:t xml:space="preserve">4.2 FIT Calculation — IRS Pub 15-T Percentage Method (2026 single, biweekly)</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Adjusted Wage</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Base Tax</w:t>
            </w:r>
          </w:p>
        </w:tc>
        <w:tc>
          <w:tcPr>
            <w:tcW w:type="pct" w:w="4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Plus % of excess over</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$0 – $578</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$0.00</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0% over $0</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$578 – $1,047</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$0.00</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10% over $578</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$1,047 – $2,455</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$46.90</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12% over $1,047</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$2,455 – $4,597</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$215.86</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22% over $2,455</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$4,597 – $8,243</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$687.11</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24% over $4,597</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$8,243 – $10,318</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$1,562.15</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32% over $8,243</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$10,318 – $25,154</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$2,226.15</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35% over $10,318</w:t>
            </w:r>
          </w:p>
        </w:tc>
      </w:tr>
      <w:tr>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Over $25,154</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$7,418.75</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37% over $25,154</w:t>
            </w:r>
          </w:p>
        </w:tc>
      </w:tr>
    </w:tbl>
    <w:p>
      <w:pPr>
        <w:spacing w:after="120"/>
      </w:pPr>
      <w:r>
        <w:rPr>
          <w:rFonts w:ascii="Arial" w:cs="Arial" w:eastAsia="Arial" w:hAnsi="Arial"/>
          <w:sz w:val="22"/>
          <w:szCs w:val="22"/>
        </w:rPr>
        <w:t xml:space="preserve">Tables refreshed annually from IRS Pub 15-T release (typically December for next calendar year). Loaded into m20us_fit_brackets table; same structure for MFJ, HOH, biweekly/weekly/semi-monthly/monthly.</w:t>
      </w:r>
    </w:p>
    <w:p>
      <w:pPr>
        <w:pStyle w:val="Heading1"/>
        <w:spacing w:after="180" w:before="360"/>
      </w:pPr>
      <w:r>
        <w:rPr>
          <w:rFonts w:ascii="Arial" w:cs="Arial" w:eastAsia="Arial" w:hAnsi="Arial"/>
          <w:b/>
          <w:bCs/>
          <w:color w:val="1F4E79"/>
          <w:sz w:val="36"/>
          <w:szCs w:val="36"/>
        </w:rPr>
        <w:t xml:space="preserve">5. Quarterly &amp; Annual Filings</w:t>
      </w:r>
    </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gridCol w:w="100"/>
      </w:tblGrid>
      <w:tr>
        <w:trPr>
          <w:tblHeader/>
        </w:trPr>
        <w:tc>
          <w:tcPr>
            <w:tcW w:type="pct" w:w="1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Form</w:t>
            </w:r>
          </w:p>
        </w:tc>
        <w:tc>
          <w:tcPr>
            <w:tcW w:type="pct" w:w="1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Frequency</w:t>
            </w:r>
          </w:p>
        </w:tc>
        <w:tc>
          <w:tcPr>
            <w:tcW w:type="pct" w:w="2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Due Date</w:t>
            </w:r>
          </w:p>
        </w:tc>
        <w:tc>
          <w:tcPr>
            <w:tcW w:type="pct" w:w="45%"/>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941</w:t>
            </w:r>
          </w:p>
        </w:tc>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Quarterly</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Last day of month after quarter end</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Federal payroll tax (FIT + FICA)</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940</w:t>
            </w:r>
          </w:p>
        </w:tc>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Annual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Jan 31</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FUTA reconciliation</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W-2</w:t>
            </w:r>
          </w:p>
        </w:tc>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Annual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Jan 31 (employee + SSA)</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Employee wages &amp; withholding</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W-3</w:t>
            </w:r>
          </w:p>
        </w:tc>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Annual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Jan 31 (with W-2s to SSA)</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Transmittal of W-2s</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1099-NEC</w:t>
            </w:r>
          </w:p>
        </w:tc>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Annual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Jan 31 (recipient + IRS)</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Non-employee compensation &gt;= $600</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1099-MISC</w:t>
            </w:r>
          </w:p>
        </w:tc>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Annual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Feb 28 paper / Mar 31 e-file</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Rents, prizes, etc.</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1095-C</w:t>
            </w:r>
          </w:p>
        </w:tc>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Annual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Mar 2 (employee) / Mar 31 e-file</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ACA — health coverage offer</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1094-C</w:t>
            </w:r>
          </w:p>
        </w:tc>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Annual</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Mar 31 e-file</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ACA transmittal of 1095-Cs</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State Quarterly Return</w:t>
            </w:r>
          </w:p>
        </w:tc>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Quarterly</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Per state schedule</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SUTA + SIT withholding</w:t>
            </w:r>
          </w:p>
        </w:tc>
      </w:tr>
      <w:tr>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State New Hire Report</w:t>
            </w:r>
          </w:p>
        </w:tc>
        <w:tc>
          <w:tcPr>
            <w:tcW w:type="pct" w:w="15%"/>
            <w:tcMar>
              <w:top w:type="dxa" w:w="80"/>
              <w:left w:type="dxa" w:w="120"/>
              <w:bottom w:type="dxa" w:w="80"/>
              <w:right w:type="dxa" w:w="120"/>
            </w:tcMar>
            <w:vAlign w:val="top"/>
          </w:tcPr>
          <w:p>
            <w:pPr>
              <w:spacing w:after="0"/>
            </w:pPr>
            <w:r>
              <w:rPr>
                <w:rFonts w:ascii="Arial" w:cs="Arial" w:eastAsia="Arial" w:hAnsi="Arial"/>
                <w:sz w:val="20"/>
                <w:szCs w:val="20"/>
              </w:rPr>
              <w:t xml:space="preserve">On hire</w:t>
            </w:r>
          </w:p>
        </w:tc>
        <w:tc>
          <w:tcPr>
            <w:tcW w:type="pct" w:w="25%"/>
            <w:tcMar>
              <w:top w:type="dxa" w:w="80"/>
              <w:left w:type="dxa" w:w="120"/>
              <w:bottom w:type="dxa" w:w="80"/>
              <w:right w:type="dxa" w:w="120"/>
            </w:tcMar>
            <w:vAlign w:val="top"/>
          </w:tcPr>
          <w:p>
            <w:pPr>
              <w:spacing w:after="0"/>
            </w:pPr>
            <w:r>
              <w:rPr>
                <w:rFonts w:ascii="Arial" w:cs="Arial" w:eastAsia="Arial" w:hAnsi="Arial"/>
                <w:sz w:val="20"/>
                <w:szCs w:val="20"/>
              </w:rPr>
              <w:t xml:space="preserve">Within 20 days</w:t>
            </w:r>
          </w:p>
        </w:tc>
        <w:tc>
          <w:tcPr>
            <w:tcW w:type="pct" w:w="45%"/>
            <w:tcMar>
              <w:top w:type="dxa" w:w="80"/>
              <w:left w:type="dxa" w:w="120"/>
              <w:bottom w:type="dxa" w:w="80"/>
              <w:right w:type="dxa" w:w="120"/>
            </w:tcMar>
            <w:vAlign w:val="top"/>
          </w:tcPr>
          <w:p>
            <w:pPr>
              <w:spacing w:after="0"/>
            </w:pPr>
            <w:r>
              <w:rPr>
                <w:rFonts w:ascii="Arial" w:cs="Arial" w:eastAsia="Arial" w:hAnsi="Arial"/>
                <w:sz w:val="20"/>
                <w:szCs w:val="20"/>
              </w:rPr>
              <w:t xml:space="preserve">Per state DOL portal</w:t>
            </w:r>
          </w:p>
        </w:tc>
      </w:tr>
    </w:tbl>
    <w:p>
      <w:pPr>
        <w:pStyle w:val="Heading1"/>
        <w:spacing w:after="180" w:before="360"/>
      </w:pPr>
      <w:r>
        <w:rPr>
          <w:rFonts w:ascii="Arial" w:cs="Arial" w:eastAsia="Arial" w:hAnsi="Arial"/>
          <w:b/>
          <w:bCs/>
          <w:color w:val="1F4E79"/>
          <w:sz w:val="36"/>
          <w:szCs w:val="36"/>
        </w:rPr>
        <w:t xml:space="preserve">6. Database Schema</w:t>
      </w:r>
    </w:p>
    <w:p>
      <w:pPr>
        <w:shd w:fill="F2F2F2" w:color="F2F2F2" w:val="solid"/>
        <w:spacing w:after="120" w:before="60"/>
      </w:pPr>
      <w:r>
        <w:rPr>
          <w:rFonts w:ascii="Consolas" w:cs="Consolas" w:eastAsia="Consolas" w:hAnsi="Consolas"/>
          <w:sz w:val="20"/>
          <w:szCs w:val="20"/>
        </w:rPr>
        <w:t xml:space="preserve">    -- m20us_employees: US-specific employee fields
CREATE TABLE m20us_employees (
  id BIGINT UNSIGNED AUTO_INCREMENT PRIMARY KEY,
  tenant_id BIGINT UNSIGNED NOT NULL,
  employee_id BIGINT UNSIGNED NOT NULL,                      -- FK to base m20_employees
  ssn_encrypted VARBINARY(512) NOT NULL,
  ssn_last4 CHAR(4),
  itin_encrypted VARBINARY(512),                              -- if no SSN
  date_of_hire DATE NOT NULL,
  date_of_termination DATE NULL,
  termination_reason VARCHAR(80),
  rehire_eligible TINYINT(1),
  worker_type ENUM('w2_employee','1099_contractor','statutory_employee','intern_paid','intern_unpaid') NOT NULL,
  flsa_classification ENUM('exempt','non_exempt') NOT NULL,
  pay_frequency ENUM('weekly','biweekly','semimonthly','monthly') NOT NULL,
  pay_type ENUM('salary','hourly','commission','piece_rate') NOT NULL,
  base_pay_rate DECIMAL(10,4),
  base_pay_currency CHAR(3) DEFAULT 'USD',
  work_state CHAR(2) NOT NULL,
  work_locality VARCHAR(64),
  resident_state CHAR(2) NOT NULL,
  resident_locality VARCHAR(64),
  i9_completed TINYINT(1) DEFAULT 0,
  i9_completed_date DATE,
  everify_case_number VARCHAR(20),
  everify_status ENUM('not_run','employment_authorized','tnc','final_nonconfirmation','closed'),
  is_aca_full_time TINYINT(1),                                -- &gt;= 30 hrs/wk OR &gt;= 130 hrs/mo
  aca_safe_harbor ENUM('w2','rate_of_pay','federal_poverty_line','none'),
  KEY ix_tenant_emp (tenant_id, employee_id),
  CONSTRAINT fk_m20us_emp_base FOREIGN KEY (employee_id) REFERENCES m20_employees(id)
) ENGINE=InnoDB;
-- m20us_employee_w4: W-4 withholding declarations (history preserved)
CREATE TABLE m20us_employee_w4 (
  id BIGINT UNSIGNED AUTO_INCREMENT PRIMARY KEY,
  employee_id BIGINT UNSIGNED NOT NULL,                       -- FK to m20us_employees.id
  effective_date DATE NOT NULL,
  filing_status ENUM('single','married_jointly','head_of_household') NOT NULL,
  two_jobs_flag TINYINT(1) DEFAULT 0,
  dependent_amount_usd DECIMAL(10,2) DEFAULT 0,
  other_income_usd DECIMAL(10,2) DEFAULT 0,
  deductions_usd DECIMAL(10,2) DEFAULT 0,
  extra_withholding_usd DECIMAL(10,2) DEFAULT 0,
  exempt_flag TINYINT(1) DEFAULT 0,
  signature_hash CHAR(64),
  signed_at_utc TIMESTAMP NULL,
  source ENUM('digital_form','paper_upload','imported') NOT NULL,
  KEY ix_emp_eff (employee_id, effective_date)
) ENGINE=InnoDB;
-- m20us_payroll_runs: scheduled and historical payroll runs
CREATE TABLE m20us_payroll_runs (
  id BIGINT UNSIGNED AUTO_INCREMENT PRIMARY KEY,
  tenant_id BIGINT UNSIGNED NOT NULL,
  run_number VARCHAR(20) NOT NULL,
  pay_period_start DATE NOT NULL,
  pay_period_end DATE NOT NULL,
  pay_date DATE NOT NULL,
  pay_frequency ENUM('weekly','biweekly','semimonthly','monthly') NOT NULL,
  status ENUM('draft','calculating','approved','funded','paid','reversed') NOT NULL,
  total_gross DECIMAL(15,2) DEFAULT 0,
  total_net DECIMAL(15,2) DEFAULT 0,
  total_employer_taxes DECIMAL(15,2) DEFAULT 0,
  total_employee_taxes DECIMAL(15,2) DEFAULT 0,
  ach_batch_id BIGINT UNSIGNED,                               -- FK m19us_ach_batches
  approved_by BIGINT UNSIGNED,
  approved_at_utc TIMESTAMP NULL,
  KEY ix_tenant_pd (tenant_id, pay_date),
  CONSTRAINT fk_m20us_run_ach FOREIGN KEY (ach_batch_id) REFERENCES m19us_ach_batches(id)
) ENGINE=InnoDB;
-- m20us_payroll_run_lines: per-employee per-run line items
CREATE TABLE m20us_payroll_run_lines (
  id BIGINT UNSIGNED AUTO_INCREMENT PRIMARY KEY,
  payroll_run_id BIGINT UNSIGNED NOT NULL,
  employee_id BIGINT UNSIGNED NOT NULL,
  regular_hours DECIMAL(8,2) DEFAULT 0,
  overtime_hours DECIMAL(8,2) DEFAULT 0,
  double_time_hours DECIMAL(8,2) DEFAULT 0,
  pto_hours DECIMAL(8,2) DEFAULT 0,
  holiday_hours DECIMAL(8,2) DEFAULT 0,
  gross_wages DECIMAL(13,2) NOT NULL,
  pretax_401k DECIMAL(13,2) DEFAULT 0,
  pretax_hsa DECIMAL(13,2) DEFAULT 0,
  pretax_section125 DECIMAL(13,2) DEFAULT 0,
  taxable_wages_federal DECIMAL(13,2) NOT NULL,
  taxable_wages_ss DECIMAL(13,2) NOT NULL,                    -- subject to ss cap
  taxable_wages_medicare DECIMAL(13,2) NOT NULL,
  fit_withheld DECIMAL(13,2) NOT NULL,
  ss_employee DECIMAL(13,2) NOT NULL,
  ss_employer DECIMAL(13,2) NOT NULL,
  medicare_employee DECIMAL(13,2) NOT NULL,
  medicare_employer DECIMAL(13,2) NOT NULL,
  addl_medicare DECIMAL(13,2) DEFAULT 0,
  sit_withheld DECIMAL(13,2) DEFAULT 0,
  sit_state CHAR(2),
  local_tax_withheld DECIMAL(13,2) DEFAULT 0,
  local_tax_jurisdiction VARCHAR(120),
  futa_employer DECIMAL(13,2) DEFAULT 0,
  suta_employer DECIMAL(13,2) DEFAULT 0,
  state_disability_employee DECIMAL(13,2) DEFAULT 0,
  paid_family_leave_employee DECIMAL(13,2) DEFAULT 0,
  garnishments DECIMAL(13,2) DEFAULT 0,
  posttax_roth_401k DECIMAL(13,2) DEFAULT 0,
  posttax_other DECIMAL(13,2) DEFAULT 0,
  net_pay DECIMAL(13,2) NOT NULL,
  KEY ix_run_emp (payroll_run_id, employee_id),
  CONSTRAINT fk_m20us_line_run FOREIGN KEY (payroll_run_id) REFERENCES m20us_payroll_runs(id) ON DELETE CASCADE
) ENGINE=InnoDB;
-- m20us_w2_filings: annual W-2 generation tracking
CREATE TABLE m20us_w2_filings (
  id BIGINT UNSIGNED AUTO_INCREMENT PRIMARY KEY,
  tenant_id BIGINT UNSIGNED NOT NULL,
  tax_year SMALLINT NOT NULL,
  employee_id BIGINT UNSIGNED NOT NULL,
  box1_wages DECIMAL(13,2) NOT NULL,
  box2_fit_withheld DECIMAL(13,2) NOT NULL,
  box3_ss_wages DECIMAL(13,2) NOT NULL,
  box4_ss_withheld DECIMAL(13,2) NOT NULL,
  box5_medicare_wages DECIMAL(13,2) NOT NULL,
  box6_medicare_withheld DECIMAL(13,2) NOT NULL,
  box7_ss_tips DECIMAL(13,2) DEFAULT 0,
  box10_dep_care_benefits DECIMAL(13,2) DEFAULT 0,
  box12_codes JSON,                                            -- A-HH codes with amounts
  box13_statutory_employee TINYINT(1) DEFAULT 0,
  box13_retirement_plan TINYINT(1) DEFAULT 0,
  box13_third_party_sick_pay TINYINT(1) DEFAULT 0,
  box14_other JSON,
  state_filings JSON,                                          -- per-state boxes 15-20
  status ENUM('draft','final','filed_ssa','corrected_w2c') NOT NULL,
  ssa_efile_confirmation VARCHAR(40),
  KEY ix_tenant_year_emp (tenant_id, tax_year, employee_id)
) ENGINE=InnoDB;
-- m20us_aca_1095c: ACA 1095-C records
CREATE TABLE m20us_aca_1095c (
  id BIGINT UNSIGNED AUTO_INCREMENT PRIMARY KEY,
  tenant_id BIGINT UNSIGNED NOT NULL,
  tax_year SMALLINT NOT NULL,
  employee_id BIGINT UNSIGNED NOT NULL,
  part2_lines JSON,                                            -- 12 monthly entries (codes 1A-1U)
  part2_employee_share DECIMAL(8,2),                          -- lowest cost monthly premium
  part2_safe_harbor JSON,                                      -- 12 monthly safe harbor codes
  part3_self_insured TINYINT(1) DEFAULT 0,
  part3_covered_individuals JSON,                              -- if self-insured plan
  status ENUM('draft','final','filed_irs','corrected') NOT NULL,
  irs_efile_confirmation VARCHAR(40),
  KEY ix_tenant_year_emp (tenant_id, tax_year, employee_id)
) ENGINE=InnoDB;</w:t>
      </w:r>
    </w:p>
    <w:p>
      <w:pPr>
        <w:pStyle w:val="Heading1"/>
        <w:spacing w:after="180" w:before="360"/>
      </w:pPr>
      <w:r>
        <w:rPr>
          <w:rFonts w:ascii="Arial" w:cs="Arial" w:eastAsia="Arial" w:hAnsi="Arial"/>
          <w:b/>
          <w:bCs/>
          <w:color w:val="1F4E79"/>
          <w:sz w:val="36"/>
          <w:szCs w:val="36"/>
        </w:rPr>
        <w:t xml:space="preserve">7. State Income Tax Engine</w:t>
      </w:r>
    </w:p>
    <w:p>SIT calculation is plugin-driven via . Each state has its own provider implementation. The 9 no-tax states return zero. Tennessee and New Hampshire previously taxed only investment income (eliminated 2021/2026 respectively).</w:p>
    <w:tbl>
      <w:tblPr>
        <w:tblW w:type="pct" w:w="100%"/>
        <w:tblBorders>
          <w:top w:val="single" w:color="BFBFBF" w:sz="4"/>
          <w:left w:val="single" w:color="BFBFBF" w:sz="4"/>
          <w:bottom w:val="single" w:color="BFBFBF" w:sz="4"/>
          <w:right w:val="single" w:color="BFBFBF" w:sz="4"/>
          <w:insideH w:val="single" w:color="D9D9D9" w:sz="4"/>
          <w:insideV w:val="single" w:color="D9D9D9" w:sz="4"/>
        </w:tblBorders>
      </w:tblPr>
      <w:tblGrid>
        <w:gridCol w:w="100"/>
        <w:gridCol w:w="100"/>
        <w:gridCol w:w="100"/>
      </w:tblGrid>
      <w:tr>
        <w:trPr>
          <w:tblHeader/>
        </w:trPr>
        <w:tc>
          <w:tcPr>
            <w:tcW w:type="pct" w:w="22%"/>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State Group</w:t>
            </w:r>
          </w:p>
        </w:tc>
        <w:tc>
          <w:tcPr>
            <w:tcW w:type="pct" w:w="30%"/>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pct" w:w="48%"/>
            <w:shd w:fill="1F4E79" w:color="1F4E79" w:val="solid"/>
            <w:tcMar>
              <w:top w:type="dxa" w:w="100"/>
              <w:left w:type="dxa" w:w="120"/>
              <w:bottom w:type="dxa" w:w="100"/>
              <w:right w:type="dxa" w:w="120"/>
            </w:tcMar>
            <w:vAlign w:val="center"/>
          </w:tcPr>
          <w:p>
            <w:r>
              <w:rPr>
                <w:rFonts w:ascii="Arial" w:cs="Arial" w:eastAsia="Arial" w:hAnsi="Arial"/>
                <w:b/>
                <w:bCs/>
                <w:color w:val="FFFFFF"/>
                <w:sz w:val="20"/>
                <w:szCs w:val="20"/>
              </w:rPr>
              <w:t xml:space="preserve">Examples</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No state income tax</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Provider returns 0</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AK, FL, NV, NH, SD, TN, TX, WA, WY</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Flat rate</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wages x flat rate</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CO (4.40%), IL (4.95%), IN (3.05%), KY (4.0%), MA (5.0%), MI (4.05%), NC (4.5%), PA (3.07%), UT (4.55%)</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Graduated brackets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IRS Pub 15-T equivalent state tables</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CA, NY, NJ, OR, MN, HI, WI, GA, AL, etc.</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Reciprocal agreements</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Withhold for resident state, not work state</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NJ-PA, IL-WI, KY-IN-OH, MD-DC-VA-WV, MN-MI-ND-WI</w:t>
            </w:r>
          </w:p>
        </w:tc>
      </w:tr>
      <w:tr>
        <w:tc>
          <w:tcPr>
            <w:tcW w:type="pct" w:w="22%"/>
            <w:tcMar>
              <w:top w:type="dxa" w:w="80"/>
              <w:left w:type="dxa" w:w="120"/>
              <w:bottom w:type="dxa" w:w="80"/>
              <w:right w:type="dxa" w:w="120"/>
            </w:tcMar>
            <w:vAlign w:val="top"/>
          </w:tcPr>
          <w:p>
            <w:pPr>
              <w:spacing w:after="0"/>
            </w:pPr>
            <w:r>
              <w:rPr>
                <w:rFonts w:ascii="Arial" w:cs="Arial" w:eastAsia="Arial" w:hAnsi="Arial"/>
                <w:sz w:val="20"/>
                <w:szCs w:val="20"/>
              </w:rPr>
              <w:t xml:space="preserve">Credit for tax paid</w:t>
            </w:r>
          </w:p>
        </w:tc>
        <w:tc>
          <w:tcPr>
            <w:tcW w:type="pct" w:w="30%"/>
            <w:tcMar>
              <w:top w:type="dxa" w:w="80"/>
              <w:left w:type="dxa" w:w="120"/>
              <w:bottom w:type="dxa" w:w="80"/>
              <w:right w:type="dxa" w:w="120"/>
            </w:tcMar>
            <w:vAlign w:val="top"/>
          </w:tcPr>
          <w:p>
            <w:pPr>
              <w:spacing w:after="0"/>
            </w:pPr>
            <w:r>
              <w:rPr>
                <w:rFonts w:ascii="Arial" w:cs="Arial" w:eastAsia="Arial" w:hAnsi="Arial"/>
                <w:sz w:val="20"/>
                <w:szCs w:val="20"/>
              </w:rPr>
              <w:t xml:space="preserve">Withhold work state; resident files credit</w:t>
            </w:r>
          </w:p>
        </w:tc>
        <w:tc>
          <w:tcPr>
            <w:tcW w:type="pct" w:w="48%"/>
            <w:tcMar>
              <w:top w:type="dxa" w:w="80"/>
              <w:left w:type="dxa" w:w="120"/>
              <w:bottom w:type="dxa" w:w="80"/>
              <w:right w:type="dxa" w:w="120"/>
            </w:tcMar>
            <w:vAlign w:val="top"/>
          </w:tcPr>
          <w:p>
            <w:pPr>
              <w:spacing w:after="0"/>
            </w:pPr>
            <w:r>
              <w:rPr>
                <w:rFonts w:ascii="Arial" w:cs="Arial" w:eastAsia="Arial" w:hAnsi="Arial"/>
                <w:sz w:val="20"/>
                <w:szCs w:val="20"/>
              </w:rPr>
              <w:t xml:space="preserve">Default for non-reciprocal states</w:t>
            </w:r>
          </w:p>
        </w:tc>
      </w:tr>
    </w:tbl>
    <w:p>
      <w:pPr>
        <w:pStyle w:val="Heading1"/>
        <w:spacing w:after="180" w:before="360"/>
      </w:pPr>
      <w:r>
        <w:rPr>
          <w:rFonts w:ascii="Arial" w:cs="Arial" w:eastAsia="Arial" w:hAnsi="Arial"/>
          <w:b/>
          <w:bCs/>
          <w:color w:val="1F4E79"/>
          <w:sz w:val="36"/>
          <w:szCs w:val="36"/>
        </w:rPr>
        <w:t xml:space="preserve">8. ACA (Affordable Care Act) Compliance</w:t>
      </w:r>
    </w:p>
    <w:p>
      <w:pPr>
        <w:pStyle w:val="ListParagraph"/>
        <w:numPr>
          <w:ilvl w:val="0"/>
          <w:numId w:val="2"/>
        </w:numPr>
        <w:spacing w:after="80"/>
      </w:pPr>
      <w:r>
        <w:rPr>
          <w:rFonts w:ascii="Arial" w:cs="Arial" w:eastAsia="Arial" w:hAnsi="Arial"/>
          <w:sz w:val="22"/>
          <w:szCs w:val="22"/>
        </w:rPr>
        <w:t xml:space="preserve">Applicable Large Employer (ALE) determination: 50+ FTE employees in prior calendar year. ULP computes monthly via m20us_ale_calculation Hangfire job.</w:t>
      </w:r>
    </w:p>
    <w:p>
      <w:pPr>
        <w:pStyle w:val="ListParagraph"/>
        <w:numPr>
          <w:ilvl w:val="0"/>
          <w:numId w:val="2"/>
        </w:numPr>
        <w:spacing w:after="80"/>
      </w:pPr>
      <w:r>
        <w:rPr>
          <w:rFonts w:ascii="Arial" w:cs="Arial" w:eastAsia="Arial" w:hAnsi="Arial"/>
          <w:sz w:val="22"/>
          <w:szCs w:val="22"/>
        </w:rPr>
        <w:t xml:space="preserve">Monthly tracking: ULP calculates each employee's status (full-time / part-time / variable hour / seasonal) per ACA rules in m20us_aca_employee_status.</w:t>
      </w:r>
    </w:p>
    <w:p>
      <w:pPr>
        <w:pStyle w:val="ListParagraph"/>
        <w:numPr>
          <w:ilvl w:val="0"/>
          <w:numId w:val="2"/>
        </w:numPr>
        <w:spacing w:after="80"/>
      </w:pPr>
      <w:r>
        <w:rPr>
          <w:rFonts w:ascii="Arial" w:cs="Arial" w:eastAsia="Arial" w:hAnsi="Arial"/>
          <w:sz w:val="22"/>
          <w:szCs w:val="22"/>
        </w:rPr>
        <w:t xml:space="preserve">Look-back measurement period: configurable 3-12 months; standard measurement / administrative / stability period workflow.</w:t>
      </w:r>
    </w:p>
    <w:p>
      <w:pPr>
        <w:pStyle w:val="ListParagraph"/>
        <w:numPr>
          <w:ilvl w:val="0"/>
          <w:numId w:val="2"/>
        </w:numPr>
        <w:spacing w:after="80"/>
      </w:pPr>
      <w:r>
        <w:rPr>
          <w:rFonts w:ascii="Arial" w:cs="Arial" w:eastAsia="Arial" w:hAnsi="Arial"/>
          <w:sz w:val="22"/>
          <w:szCs w:val="22"/>
        </w:rPr>
        <w:t xml:space="preserve">Annual filing: 1095-C generated per full-time employee, 1094-C transmittal filed with IRS. ULP integrates with IRS AIR e-file system (XML) for 250+ employees (mandatory e-file threshold).</w:t>
      </w:r>
    </w:p>
    <w:p>
      <w:pPr>
        <w:pStyle w:val="Heading1"/>
        <w:spacing w:after="180" w:before="360"/>
      </w:pPr>
      <w:r>
        <w:rPr>
          <w:rFonts w:ascii="Arial" w:cs="Arial" w:eastAsia="Arial" w:hAnsi="Arial"/>
          <w:b/>
          <w:bCs/>
          <w:color w:val="1F4E79"/>
          <w:sz w:val="36"/>
          <w:szCs w:val="36"/>
        </w:rPr>
        <w:t xml:space="preserve">9. Indian HR/Payroll Continuity (Recap)</w:t>
      </w:r>
    </w:p>
    <w:p>
      <w:pPr>
        <w:spacing w:after="120"/>
      </w:pPr>
      Indian-specific calculations including PF (Employees' Provident Fund), ESI (Employees' State Insurance), Form 16/24Q TDS, Professional Tax (state-wise slabs), Gratuity, Leave Encashment, LWF, Bonus Act, and CTC structure remain fully functional. The plugin resolution at runtime () reads  and dispatches to the appropriate IN or US plugin. Indian payslip templates, salary structure, and statutory filings are unaffected.
    </w:p>
    <w:p>
      <w:pPr>
        <w:spacing w:after="80"/>
      </w:pPr>
      <w:r>
        <w:t xml:space="preserve"/>
      </w:r>
    </w:p>
    <w:p>
      <w:pPr>
        <w:spacing w:after="120"/>
      </w:pPr>
      <text>— End of M20-US HR &amp; Payroll LLD v1.0 —</text>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ULP — 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ULP — Module 20 US HR &amp; Payroll LLD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jc w:val="center"/>
    </w:pPr>
    <w:rPr>
      <w:rFonts w:ascii="Arial" w:cs="Arial" w:eastAsia="Arial" w:hAnsi="Arial"/>
      <w:b/>
      <w:bCs/>
      <w:color w:val="1F4E79"/>
      <w:sz w:val="56"/>
      <w:szCs w:val="56"/>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10" w:before="220"/>
      <w:outlineLvl w:val="2"/>
    </w:pPr>
    <w:rPr>
      <w:rFonts w:ascii="Arial" w:cs="Arial" w:eastAsia="Arial" w:hAnsi="Arial"/>
      <w:b/>
      <w:bCs/>
      <w:sz w:val="24"/>
      <w:szCs w:val="24"/>
    </w:rPr>
  </w:style>
  <w:style w:type="paragraph" w:styleId="Heading4">
    <w:name w:val="Heading 4"/>
    <w:basedOn w:val="Normal"/>
    <w:next w:val="Normal"/>
    <w:qFormat/>
    <w:pPr>
      <w:spacing w:after="9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ULP — Module 20 US HR &amp; Payroll LLD v1.0</dc:title>
  <dc:creator>ULP Project Team</dc:creator>
  <cp:lastModifiedBy>Un-named</cp:lastModifiedBy>
  <cp:revision>1</cp:revision>
  <dcterms:created xsi:type="dcterms:W3CDTF">2026-05-01T21:30:12.554Z</dcterms:created>
  <dcterms:modified xsi:type="dcterms:W3CDTF">2026-05-01T21:30:12.554Z</dcterms:modified>
</cp:coreProperties>
</file>

<file path=docProps/custom.xml><?xml version="1.0" encoding="utf-8"?>
<Properties xmlns="http://schemas.openxmlformats.org/officeDocument/2006/custom-properties" xmlns:vt="http://schemas.openxmlformats.org/officeDocument/2006/docPropsVTypes"/>
</file>