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before="0"/>
        <w:jc w:val="center"/>
      </w:pPr>
      <w:r>
        <w:rPr>
          <w:rFonts w:ascii="Arial" w:cs="Arial" w:eastAsia="Arial" w:hAnsi="Arial"/>
          <w:b/>
          <w:bCs/>
          <w:color w:val="1F4E79"/>
          <w:sz w:val="56"/>
          <w:szCs w:val="56"/>
        </w:rPr>
        <w:t xml:space="preserve">ULP Non-Functional Requirements</w:t>
      </w:r>
    </w:p>
    <w:p>
      <w:pPr>
        <w:spacing w:after="240" w:before="0"/>
        <w:jc w:val="center"/>
      </w:pPr>
      <w:r>
        <w:rPr>
          <w:rFonts w:ascii="Arial" w:cs="Arial" w:eastAsia="Arial" w:hAnsi="Arial"/>
          <w:i/>
          <w:iCs/>
          <w:color w:val="666666"/>
          <w:sz w:val="28"/>
          <w:szCs w:val="28"/>
        </w:rPr>
        <w:t xml:space="preserve">Performance, Scalability, Availability, Maintainability, Portability, Compliance</w:t>
      </w:r>
    </w:p>
    <w:p>
      <w:pPr>
        <w:spacing w:after="240" w:before="480"/>
        <w:jc w:val="center"/>
      </w:pPr>
      <w:r>
        <w:rPr>
          <w:rFonts w:ascii="Arial" w:cs="Arial" w:eastAsia="Arial" w:hAnsi="Arial"/>
          <w:b/>
          <w:bCs/>
          <w:color w:val="1F4E79"/>
          <w:sz w:val="28"/>
          <w:szCs w:val="28"/>
        </w:rPr>
        <w:t xml:space="preserve">Version 2.0</w:t>
      </w:r>
    </w:p>
    <w:p>
      <w:pPr>
        <w:spacing w:after="240"/>
        <w:jc w:val="center"/>
      </w:pPr>
      <w:r>
        <w:rPr>
          <w:rFonts w:ascii="Arial" w:cs="Arial" w:eastAsia="Arial" w:hAnsi="Arial"/>
          <w:color w:val="666666"/>
          <w:sz w:val="22"/>
          <w:szCs w:val="22"/>
        </w:rPr>
        <w:t xml:space="preserve">2026-05-02</w:t>
      </w:r>
    </w:p>
    <w:p>
      <w:pPr>
        <w:spacing w:after="0" w:before="1440"/>
        <w:jc w:val="center"/>
      </w:pPr>
      <w:r>
        <w:rPr>
          <w:rFonts w:ascii="Arial" w:cs="Arial" w:eastAsia="Arial" w:hAnsi="Arial"/>
          <w:i/>
          <w:iCs/>
          <w:color w:val="999999"/>
          <w:sz w:val="20"/>
          <w:szCs w:val="20"/>
        </w:rPr>
        <w:t xml:space="preserve">For: Architects, Tech Lead, PM, Account Mgmt (IN+US clients), QA, SRE</w:t>
      </w:r>
    </w:p>
    <w:p>
      <w:r>
        <w:br w:type="page"/>
      </w:r>
    </w:p>
    <w:p>
      <w:pPr>
        <w:pStyle w:val="Heading1"/>
        <w:spacing w:after="180" w:before="360"/>
      </w:pPr>
      <w:r>
        <w:rPr>
          <w:rFonts w:ascii="Arial" w:cs="Arial" w:eastAsia="Arial" w:hAnsi="Arial"/>
          <w:b/>
          <w:bCs/>
          <w:color w:val="1F4E79"/>
          <w:sz w:val="36"/>
          <w:szCs w:val="36"/>
        </w:rPr>
        <w:t xml:space="preserve">1. Purpose</w:t>
      </w:r>
    </w:p>
    <w:p>
      <w:pPr>
        <w:spacing w:after="120"/>
      </w:pPr>
      <w:r>
        <w:rPr>
          <w:rFonts w:ascii="Arial" w:cs="Arial" w:eastAsia="Arial" w:hAnsi="Arial"/>
          <w:sz w:val="22"/>
          <w:szCs w:val="22"/>
        </w:rPr>
        <w:t xml:space="preserve">Defines the cross-cutting NFRs the multi-region ULP must satisfy. These are testable, measurable, and enforceable contracts. Where v1.0 already specified targets, v2.0 retains them and adds region-specific dimensions.</w:t>
      </w:r>
    </w:p>
    <w:p>
      <w:pPr>
        <w:spacing w:after="80"/>
      </w:pPr>
      <w:r>
        <w:t xml:space="preserve"/>
      </w:r>
    </w:p>
    <w:p>
      <w:pPr>
        <w:pStyle w:val="Heading2"/>
        <w:spacing w:after="140" w:before="280"/>
      </w:pPr>
      <w:r>
        <w:rPr>
          <w:rFonts w:ascii="Arial" w:cs="Arial" w:eastAsia="Arial" w:hAnsi="Arial"/>
          <w:b/>
          <w:bCs/>
          <w:color w:val="2E75B6"/>
          <w:sz w:val="28"/>
          <w:szCs w:val="28"/>
        </w:rPr>
        <w:t xml:space="preserve">1.1 Indian Client Continuity</w:t>
      </w:r>
    </w:p>
    <w:p>
      <w:pPr>
        <w:spacing w:after="120"/>
      </w:pPr>
      <w:r>
        <w:rPr>
          <w:rFonts w:ascii="Arial" w:cs="Arial" w:eastAsia="Arial" w:hAnsi="Arial"/>
          <w:sz w:val="22"/>
          <w:szCs w:val="22"/>
        </w:rPr>
        <w:t xml:space="preserve">Every v1.0 NFR remains in effect for the Indian deployment. Where v2.0 introduces new NFR targets (e.g., region failover RTO), those targets apply equally to the Indian region. No Indian client commitment is weakened.</w:t>
      </w:r>
    </w:p>
    <w:p>
      <w:r>
        <w:br w:type="page"/>
      </w:r>
    </w:p>
    <w:p>
      <w:pPr>
        <w:pStyle w:val="Heading1"/>
        <w:spacing w:after="180" w:before="360"/>
      </w:pPr>
      <w:r>
        <w:rPr>
          <w:rFonts w:ascii="Arial" w:cs="Arial" w:eastAsia="Arial" w:hAnsi="Arial"/>
          <w:b/>
          <w:bCs/>
          <w:color w:val="1F4E79"/>
          <w:sz w:val="36"/>
          <w:szCs w:val="36"/>
        </w:rPr>
        <w:t xml:space="preserve">2. Performance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3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pct" w:w="1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c>
          <w:tcPr>
            <w:tcW w:type="pct" w:w="3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Measurement Method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NFR-PER-001</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API p50 latency</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150 ms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APM histograms, 30-day rolling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NFR-PER-002</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API p95 latency</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500 ms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APM histograms, 30-day rolling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NFR-PER-003</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API p99 latency</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1500 ms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APM histograms, 30-day rolling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NFR-PER-004</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Web initial page load (TTFB)</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800 ms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RUM (real user monitoring)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NFR-PER-005</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Web full content paint (LCP)</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2.5 s on 4G</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RUM + synthetic</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NFR-PER-006</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Mobile cold start</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3 s on mid-tier device</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Mobile profiling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NFR-PER-007</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Background job latency (P50)</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60 s queue → complete for standard jobs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Hangfire metrics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NFR-PER-008</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Bulk import (per 10k rows)</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5 min</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Performance test suite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NFR-PER-009</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Report generation (P95, standard report)</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30 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Performance test suite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NFR-PER-010</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Database query (P95, OLTP)</w:t>
            </w:r>
          </w:p>
        </w:tc>
        <w:tc>
          <w:tcPr>
            <w:tcW w:type="pct" w:w="18%"/>
            <w:tcMar>
              <w:top w:type="dxa" w:w="80"/>
              <w:left w:type="dxa" w:w="120"/>
              <w:bottom w:type="dxa" w:w="80"/>
              <w:right w:type="dxa" w:w="120"/>
            </w:tcMar>
            <w:vAlign w:val="top"/>
          </w:tcPr>
          <w:p>
            <w:pPr>
              <w:spacing w:after="0"/>
            </w:pPr>
            <w:r>
              <w:rPr>
                <w:rFonts w:ascii="Arial" w:cs="Arial" w:eastAsia="Arial" w:hAnsi="Arial"/>
                <w:sz w:val="20"/>
                <w:szCs w:val="20"/>
              </w:rPr>
              <w:t xml:space="preserve">&lt;= 200 ms</w:t>
            </w:r>
          </w:p>
        </w:tc>
        <w:tc>
          <w:tcPr>
            <w:tcW w:type="pct" w:w="32%"/>
            <w:tcMar>
              <w:top w:type="dxa" w:w="80"/>
              <w:left w:type="dxa" w:w="120"/>
              <w:bottom w:type="dxa" w:w="80"/>
              <w:right w:type="dxa" w:w="120"/>
            </w:tcMar>
            <w:vAlign w:val="top"/>
          </w:tcPr>
          <w:p>
            <w:pPr>
              <w:spacing w:after="0"/>
            </w:pPr>
            <w:r>
              <w:rPr>
                <w:rFonts w:ascii="Arial" w:cs="Arial" w:eastAsia="Arial" w:hAnsi="Arial"/>
                <w:sz w:val="20"/>
                <w:szCs w:val="20"/>
              </w:rPr>
              <w:t xml:space="preserve">MySQL slow log + APM</w:t>
            </w:r>
          </w:p>
        </w:tc>
      </w:tr>
    </w:tbl>
    <w:p>
      <w:r>
        <w:br w:type="page"/>
      </w:r>
    </w:p>
    <w:p>
      <w:pPr>
        <w:pStyle w:val="Heading1"/>
        <w:spacing w:after="180" w:before="360"/>
      </w:pPr>
      <w:r>
        <w:rPr>
          <w:rFonts w:ascii="Arial" w:cs="Arial" w:eastAsia="Arial" w:hAnsi="Arial"/>
          <w:b/>
          <w:bCs/>
          <w:color w:val="1F4E79"/>
          <w:sz w:val="36"/>
          <w:szCs w:val="36"/>
        </w:rPr>
        <w:t xml:space="preserve">3. Scalability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pct" w:w="53%"/>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NFR-SCA-001</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Tenants per region (steady state)</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500 active tenants per region in year 1; 2000 by year 3</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NFR-SCA-002</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Concurrent users per tenant</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500 sustained, 1000 burst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NFR-SCA-003</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Transactions per second per tenant</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200 sustained, 500 burst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NFR-SCA-004</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Storage per tenant (default plan)</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Up to 100 GB structured + 1 TB documents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NFR-SCA-005</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Horizontal scaling</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App tier scales horizontally on CPU &gt; 60% with 2-min ramp</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NFR-SCA-006</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Vertical scaling</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MySQL compute tier upgrade in &lt;= 10 min downtime window OR online via failover</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NFR-SCA-007</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Region addition</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New region (e.g., EU) deployable from IaC in &lt;= 5 business days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NFR-SCA-008</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Tenant onboarding (self-serve)</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&lt;= 5 minutes from signup to first login</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NFR-SCA-009</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Long-tail tenant data growth</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No degradation when largest tenant &gt; 100x median</w:t>
            </w:r>
          </w:p>
        </w:tc>
      </w:tr>
    </w:tbl>
    <w:p>
      <w:r>
        <w:br w:type="page"/>
      </w:r>
    </w:p>
    <w:p>
      <w:pPr>
        <w:pStyle w:val="Heading1"/>
        <w:spacing w:after="180" w:before="360"/>
      </w:pPr>
      <w:r>
        <w:rPr>
          <w:rFonts w:ascii="Arial" w:cs="Arial" w:eastAsia="Arial" w:hAnsi="Arial"/>
          <w:b/>
          <w:bCs/>
          <w:color w:val="1F4E79"/>
          <w:sz w:val="36"/>
          <w:szCs w:val="36"/>
        </w:rPr>
        <w:t xml:space="preserve">4. Availability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pct" w:w="53%"/>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NFR-AVL-001</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Single-region availability</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&gt;= 99.9% monthly (~43 min budget)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NFR-AVL-002</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Multi-region (with DR) availability</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&gt;= 99.95% monthly (~21 min budget)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NFR-AVL-003</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Planned maintenance windows</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Announced ≥ 7 days prior; counted against availability only if outage extends beyond announced window</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NFR-AVL-004</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RTO (region failover)</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&lt;= 30 min</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NFR-AVL-005</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RPO (region failover)</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&lt;= 5 min</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NFR-AVL-006</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Single tenant accidental delete restore</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&lt;= 4 hours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NFR-AVL-007</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Backup retention (PITR)</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35 days; 1 year long-term archive available on premium plans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NFR-AVL-008</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DR drill cadence</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&gt;= 1 quarterly per region</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NFR-AVL-009</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Health probe coverage</w:t>
            </w:r>
          </w:p>
        </w:tc>
        <w:tc>
          <w:tcPr>
            <w:tcW w:type="pct" w:w="53%"/>
            <w:tcMar>
              <w:top w:type="dxa" w:w="80"/>
              <w:left w:type="dxa" w:w="120"/>
              <w:bottom w:type="dxa" w:w="80"/>
              <w:right w:type="dxa" w:w="120"/>
            </w:tcMar>
            <w:vAlign w:val="top"/>
          </w:tcPr>
          <w:p>
            <w:pPr>
              <w:spacing w:after="0"/>
            </w:pPr>
            <w:r>
              <w:rPr>
                <w:rFonts w:ascii="Arial" w:cs="Arial" w:eastAsia="Arial" w:hAnsi="Arial"/>
                <w:sz w:val="20"/>
                <w:szCs w:val="20"/>
              </w:rPr>
              <w:t xml:space="preserve">Liveness + readiness on every service</w:t>
            </w:r>
          </w:p>
        </w:tc>
      </w:tr>
    </w:tbl>
    <w:p>
      <w:r>
        <w:br w:type="page"/>
      </w:r>
    </w:p>
    <w:p>
      <w:pPr>
        <w:pStyle w:val="Heading1"/>
        <w:spacing w:after="180" w:before="360"/>
      </w:pPr>
      <w:r>
        <w:rPr>
          <w:rFonts w:ascii="Arial" w:cs="Arial" w:eastAsia="Arial" w:hAnsi="Arial"/>
          <w:b/>
          <w:bCs/>
          <w:color w:val="1F4E79"/>
          <w:sz w:val="36"/>
          <w:szCs w:val="36"/>
        </w:rPr>
        <w:t xml:space="preserve">5. Reliability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3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Target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NFR-REL-001</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Job success rate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&gt;= 99% terminal success rate over 30 days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NFR-REL-002</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Webhook delivery (eventual, within 24h)</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&gt;= 99.5%</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NFR-REL-003</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Idempotency on mutating endpoints</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100% of mutating endpoints accept Idempotency-Key</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NFR-REL-004</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Outbox pattern for cross-service events</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Required for any side-effect that must survive a crash</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NFR-REL-005</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Retries with exponential backoff + jitter</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Required for all outbound HTTP / queue calls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NFR-REL-006</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Timeout policy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No call without an explicit timeout; default per category documented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NFR-REL-007</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Circuit breaker</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Polly circuit breaker on every external dependency</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NFR-REL-008</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Dead-letter queue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Required on every queue; alerting on DLQ depth</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NFR-REL-009</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Graceful shutdown</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&lt;= 30 s drain on SIGTERM; in-flight requests completed</w:t>
            </w:r>
          </w:p>
        </w:tc>
      </w:tr>
    </w:tbl>
    <w:p>
      <w:r>
        <w:br w:type="page"/>
      </w:r>
    </w:p>
    <w:p>
      <w:pPr>
        <w:pStyle w:val="Heading1"/>
        <w:spacing w:after="180" w:before="360"/>
      </w:pPr>
      <w:r>
        <w:rPr>
          <w:rFonts w:ascii="Arial" w:cs="Arial" w:eastAsia="Arial" w:hAnsi="Arial"/>
          <w:b/>
          <w:bCs/>
          <w:color w:val="1F4E79"/>
          <w:sz w:val="36"/>
          <w:szCs w:val="36"/>
        </w:rPr>
        <w:t xml:space="preserve">6. Security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8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TLS 1.3 only on external endpoints; HSTS preload; PFS ciphers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AES-256 encryption at rest with CMK in Azure Key Vault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NFR-SEC-003</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MFA mandatory for all workforce production access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NFR-SEC-004</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JIT elevation for L4 access; max 8 hours; dual approval</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NFR-SEC-005</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No secrets in code; Key Vault references only</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NFR-SEC-006</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PII redaction in logs; sensitive PII never logged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NFR-SEC-007</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Tenant isolation: zero cross-tenant data leakage in CI tests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NFR-SEC-008</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Penetration test annually + on-major-release; zero high/critical at release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NFR-SEC-009</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Vulnerability scan (SAST/DAST/SCA): zero high/critical at release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NFR-SEC-010</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Audit log for all sensitive PII reads + admin actions; 7-year retention</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NFR-SEC-011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Breach notification SLA: &lt;= 72 hours per DPDP Act / state laws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NFR-SEC-012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Vendor DPA in place before any PII-processing integration goes live</w:t>
            </w:r>
          </w:p>
        </w:tc>
      </w:tr>
    </w:tbl>
    <w:p>
      <w:r>
        <w:br w:type="page"/>
      </w:r>
    </w:p>
    <w:p>
      <w:pPr>
        <w:pStyle w:val="Heading1"/>
        <w:spacing w:after="180" w:before="360"/>
      </w:pPr>
      <w:r>
        <w:rPr>
          <w:rFonts w:ascii="Arial" w:cs="Arial" w:eastAsia="Arial" w:hAnsi="Arial"/>
          <w:b/>
          <w:bCs/>
          <w:color w:val="1F4E79"/>
          <w:sz w:val="36"/>
          <w:szCs w:val="36"/>
        </w:rPr>
        <w:t xml:space="preserve">7. Compliance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8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India: DPDP Act 2023 compliance — consent, rights, breach notification</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India: Income Tax Act — 7-year retention on financial records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NFR-COM-003</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India: GST e-invoicing (IRN) where eligible by turnover</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NFR-COM-004</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US: CCPA/CPRA + state privacy laws — access, correction, deletion, opt-out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NFR-COM-005</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US: IRS retention — 7-year for tax records (1099, W-2 etc.)</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NFR-COM-006</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US: NACHA Operating Rules for ACH originators (M19 US Banking)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NFR-COM-007</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US: SOC 1 Type II for banking module (year-1 target)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NFR-COM-008</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Both: SOC 2 Type II for security &amp; availability (year-2 target)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NFR-COM-009</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Data residency: tenant data stays in pinned region; no cross-border transfer in normal ops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NFR-COM-010</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Audit log immutability: append-only with cryptographic chain</w:t>
            </w:r>
          </w:p>
        </w:tc>
      </w:tr>
    </w:tbl>
    <w:p>
      <w:r>
        <w:br w:type="page"/>
      </w:r>
    </w:p>
    <w:p>
      <w:pPr>
        <w:pStyle w:val="Heading1"/>
        <w:spacing w:after="180" w:before="360"/>
      </w:pPr>
      <w:r>
        <w:rPr>
          <w:rFonts w:ascii="Arial" w:cs="Arial" w:eastAsia="Arial" w:hAnsi="Arial"/>
          <w:b/>
          <w:bCs/>
          <w:color w:val="1F4E79"/>
          <w:sz w:val="36"/>
          <w:szCs w:val="36"/>
        </w:rPr>
        <w:t xml:space="preserve">8. Maintainability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8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Code coverage: &gt;= 80% line, &gt;= 70% branch (gating)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Cyclomatic complexity per method: &lt;= 15 (warning) / &lt;= 25 (gating)</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NFR-MNT-003</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Method length: &lt;= 60 lines (style guide; reviewer-enforced)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NFR-MNT-004</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Cohesion: each module owns its data; no cross-module DB writes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NFR-MNT-005</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Plugin pattern: every region-specific behaviour goes through an interface; no inline if(country == "IN") in core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NFR-MNT-006</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Migration safety: every schema change is forward-compatible (additive); breaking changes require dual-write deprecation period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NFR-MNT-007</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API versioning: 18-month minimum support window for deprecated major versions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NFR-MNT-008</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Documentation: every module has a current LLD; every public API has OpenAPI spec</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NFR-MNT-009</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Onboarding: a new developer ships first PR within 5 working days using developer guide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NFR-MNT-010</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Build time: full CI build + test &lt; 15 minutes</w:t>
            </w:r>
          </w:p>
        </w:tc>
      </w:tr>
    </w:tbl>
    <w:p>
      <w:r>
        <w:br w:type="page"/>
      </w:r>
    </w:p>
    <w:p>
      <w:pPr>
        <w:pStyle w:val="Heading1"/>
        <w:spacing w:after="180" w:before="360"/>
      </w:pPr>
      <w:r>
        <w:rPr>
          <w:rFonts w:ascii="Arial" w:cs="Arial" w:eastAsia="Arial" w:hAnsi="Arial"/>
          <w:b/>
          <w:bCs/>
          <w:color w:val="1F4E79"/>
          <w:sz w:val="36"/>
          <w:szCs w:val="36"/>
        </w:rPr>
        <w:t xml:space="preserve">9. Portability &amp; Interoperability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8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NFR-POR-001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Cloud portability: Azure-managed services preferred but no Azure-only proprietary services without abstraction layer</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NFR-POR-002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DB portability: standard ANSI SQL where possible; MySQL-specific extensions documented and limited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NFR-POR-003</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Container portability: every workload runs in Docker; no VM-only dependencies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NFR-POR-004</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Standards: REST + JSON, OpenAPI 3.1, OAuth 2.1, OIDC, W3C Trace Context, ISO 8601, IANA timezones, ISO 4217 currencies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NFR-POR-005</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Data export: every tenant can export full data set in standard formats (JSON + CSV) within 24h request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NFR-POR-006</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Webhook compatibility: receivers in any language with HMAC-SHA256 verification</w:t>
            </w:r>
          </w:p>
        </w:tc>
      </w:tr>
    </w:tbl>
    <w:p>
      <w:r>
        <w:br w:type="page"/>
      </w:r>
    </w:p>
    <w:p>
      <w:pPr>
        <w:pStyle w:val="Heading1"/>
        <w:spacing w:after="180" w:before="360"/>
      </w:pPr>
      <w:r>
        <w:rPr>
          <w:rFonts w:ascii="Arial" w:cs="Arial" w:eastAsia="Arial" w:hAnsi="Arial"/>
          <w:b/>
          <w:bCs/>
          <w:color w:val="1F4E79"/>
          <w:sz w:val="36"/>
          <w:szCs w:val="36"/>
        </w:rPr>
        <w:t xml:space="preserve">10. Usability &amp; Accessibility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8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NFR-USA-001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Web accessibility: WCAG 2.2 AA on critical paths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NFR-USA-002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Mobile accessibility: platform best practices (TalkBack / VoiceOver)</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NFR-USA-003</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Internationalisation: ICU MessageFormat; full IN + US locale support; right-to-left ready</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NFR-USA-004</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Keyboard navigation: all critical paths usable without mouse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NFR-USA-005</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Color contrast: 4.5:1 normal text; 3:1 large text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NFR-USA-006</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Form errors: announced via aria-live; field-level + summary</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NFR-USA-007</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Date/time/number formatting: locale-aware via CLDR; never hard-coded</w:t>
            </w:r>
          </w:p>
        </w:tc>
      </w:tr>
    </w:tbl>
    <w:p>
      <w:r>
        <w:br w:type="page"/>
      </w:r>
    </w:p>
    <w:p>
      <w:pPr>
        <w:pStyle w:val="Heading1"/>
        <w:spacing w:after="180" w:before="360"/>
      </w:pPr>
      <w:r>
        <w:rPr>
          <w:rFonts w:ascii="Arial" w:cs="Arial" w:eastAsia="Arial" w:hAnsi="Arial"/>
          <w:b/>
          <w:bCs/>
          <w:color w:val="1F4E79"/>
          <w:sz w:val="36"/>
          <w:szCs w:val="36"/>
        </w:rPr>
        <w:t xml:space="preserve">11. Observability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8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NFR-OBS-001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Every service emits structured JSON logs with mandatory schema fields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NFR-OBS-002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Every service emits RED + USE metrics via OpenTelemetry</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NFR-OBS-003</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Every request carries W3C trace-context end-to-end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NFR-OBS-004</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Every alert maps to a runbook entry</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NFR-OBS-005</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Every SLO has a documented owner + dashboard</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NFR-OBS-006</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PII redaction policy enforced in logs and traces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NFR-OBS-007</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Synthetic monitoring covers login + read + write per region</w:t>
            </w:r>
          </w:p>
        </w:tc>
      </w:tr>
    </w:tbl>
    <w:p>
      <w:r>
        <w:br w:type="page"/>
      </w:r>
    </w:p>
    <w:p>
      <w:pPr>
        <w:pStyle w:val="Heading1"/>
        <w:spacing w:after="180" w:before="360"/>
      </w:pPr>
      <w:r>
        <w:rPr>
          <w:rFonts w:ascii="Arial" w:cs="Arial" w:eastAsia="Arial" w:hAnsi="Arial"/>
          <w:b/>
          <w:bCs/>
          <w:color w:val="1F4E79"/>
          <w:sz w:val="36"/>
          <w:szCs w:val="36"/>
        </w:rPr>
        <w:t xml:space="preserve">12. Cost / FinOps NFRs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1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NFR-ID</w:t>
            </w:r>
          </w:p>
        </w:tc>
        <w:tc>
          <w:tcPr>
            <w:tcW w:type="pct" w:w="8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Requirement</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NFR-COS-001</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Per-tenant cost allocation tags applied on every Azure resource where tenant-attributable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NFR-COS-002</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Monthly FinOps review: actual vs forecast variance &lt; 10% (warn) / &lt; 20% (escalate)</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NFR-COS-003</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Reserved instances / savings plans for stable baseline (target 60% covered by RIs)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NFR-COS-004</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Auto-scale-down enabled on non-prod environments outside business hours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NFR-COS-005</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Idle resource detection: monthly cleanup of orphaned disks, IPs, snapshots</w:t>
            </w:r>
          </w:p>
        </w:tc>
      </w:tr>
      <w:tr>
        <w:tc>
          <w:tcPr>
            <w:tcW w:type="pct" w:w="12%"/>
            <w:tcMar>
              <w:top w:type="dxa" w:w="80"/>
              <w:left w:type="dxa" w:w="120"/>
              <w:bottom w:type="dxa" w:w="80"/>
              <w:right w:type="dxa" w:w="120"/>
            </w:tcMar>
            <w:vAlign w:val="top"/>
          </w:tcPr>
          <w:p>
            <w:pPr>
              <w:spacing w:after="0"/>
            </w:pPr>
            <w:r>
              <w:rPr>
                <w:rFonts w:ascii="Arial" w:cs="Arial" w:eastAsia="Arial" w:hAnsi="Arial"/>
                <w:sz w:val="20"/>
                <w:szCs w:val="20"/>
              </w:rPr>
              <w:t xml:space="preserve">NFR-COS-006</w:t>
            </w:r>
          </w:p>
        </w:tc>
        <w:tc>
          <w:tcPr>
            <w:tcW w:type="pct" w:w="88%"/>
            <w:tcMar>
              <w:top w:type="dxa" w:w="80"/>
              <w:left w:type="dxa" w:w="120"/>
              <w:bottom w:type="dxa" w:w="80"/>
              <w:right w:type="dxa" w:w="120"/>
            </w:tcMar>
            <w:vAlign w:val="top"/>
          </w:tcPr>
          <w:p>
            <w:pPr>
              <w:spacing w:after="0"/>
            </w:pPr>
            <w:r>
              <w:rPr>
                <w:rFonts w:ascii="Arial" w:cs="Arial" w:eastAsia="Arial" w:hAnsi="Arial"/>
                <w:sz w:val="20"/>
                <w:szCs w:val="20"/>
              </w:rPr>
              <w:t xml:space="preserve">Egress cost monitoring per region with anomaly alerts</w:t>
            </w:r>
          </w:p>
        </w:tc>
      </w:tr>
    </w:tbl>
    <w:p>
      <w:r>
        <w:br w:type="page"/>
      </w:r>
    </w:p>
    <w:p>
      <w:pPr>
        <w:pStyle w:val="Heading1"/>
        <w:spacing w:after="180" w:before="360"/>
      </w:pPr>
      <w:r>
        <w:rPr>
          <w:rFonts w:ascii="Arial" w:cs="Arial" w:eastAsia="Arial" w:hAnsi="Arial"/>
          <w:b/>
          <w:bCs/>
          <w:color w:val="1F4E79"/>
          <w:sz w:val="36"/>
          <w:szCs w:val="36"/>
        </w:rPr>
        <w:t xml:space="preserve">13. Traceability</w:t>
      </w:r>
    </w:p>
    <w:p>
      <w:pPr>
        <w:spacing w:after="120"/>
      </w:pPr>
      <w:r>
        <w:rPr>
          <w:rFonts w:ascii="Arial" w:cs="Arial" w:eastAsia="Arial" w:hAnsi="Arial"/>
          <w:sz w:val="22"/>
          <w:szCs w:val="22"/>
        </w:rPr>
        <w:t xml:space="preserve">Every NFR in this document maps to:</w:t>
      </w:r>
    </w:p>
    <w:p>
      <w:pPr>
        <w:pStyle w:val="ListParagraph"/>
        <w:numPr>
          <w:ilvl w:val="0"/>
          <w:numId w:val="2"/>
        </w:numPr>
        <w:spacing w:after="80"/>
      </w:pPr>
      <w:r>
        <w:rPr>
          <w:rFonts w:ascii="Arial" w:cs="Arial" w:eastAsia="Arial" w:hAnsi="Arial"/>
          <w:sz w:val="22"/>
          <w:szCs w:val="22"/>
        </w:rPr>
        <w:t xml:space="preserve">At least one acceptance criterion in the Testing Strategy v2.0</w:t>
      </w:r>
    </w:p>
    <w:p>
      <w:pPr>
        <w:pStyle w:val="ListParagraph"/>
        <w:numPr>
          <w:ilvl w:val="0"/>
          <w:numId w:val="2"/>
        </w:numPr>
        <w:spacing w:after="80"/>
      </w:pPr>
      <w:r>
        <w:rPr>
          <w:rFonts w:ascii="Arial" w:cs="Arial" w:eastAsia="Arial" w:hAnsi="Arial"/>
          <w:sz w:val="22"/>
          <w:szCs w:val="22"/>
        </w:rPr>
        <w:t xml:space="preserve">At least one alert OR dashboard panel in Observability &amp; SRE v2.0 (where measurable in production)</w:t>
      </w:r>
    </w:p>
    <w:p>
      <w:pPr>
        <w:pStyle w:val="ListParagraph"/>
        <w:numPr>
          <w:ilvl w:val="0"/>
          <w:numId w:val="2"/>
        </w:numPr>
        <w:spacing w:after="80"/>
      </w:pPr>
      <w:r>
        <w:rPr>
          <w:rFonts w:ascii="Arial" w:cs="Arial" w:eastAsia="Arial" w:hAnsi="Arial"/>
          <w:sz w:val="22"/>
          <w:szCs w:val="22"/>
        </w:rPr>
        <w:t xml:space="preserve">A documented owner role</w:t>
      </w:r>
    </w:p>
    <w:p>
      <w:pPr>
        <w:spacing w:after="80"/>
      </w:pPr>
      <w:r>
        <w:t xml:space="preserve"/>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NFR Category</w:t>
            </w:r>
          </w:p>
        </w:tc>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Verified By</w:t>
            </w:r>
          </w:p>
        </w:tc>
        <w:tc>
          <w:tcPr>
            <w:tcW w:type="pct" w:w="2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Owner</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Performance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Performance test suite (k6) + APM dashboards</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Scalability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Load test + capacity review</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Availability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SLO dashboard + DR drills</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Reliability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Job success metrics + chaos drills</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SRE Lead + Engineering Manager</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Security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SAST/DAST/SCA + pen test + audit</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CISO / Security Lead</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Compliance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Audit reports + DPIA + legal review</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Privacy Officer + Legal</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Maintainability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Code coverage gate + complexity scan + PR review</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Engineering Manager</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Portability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Architecture review + dependency audit</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Tech Lead</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Usability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Accessibility audit + UX testing</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Frontend Lead</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Observability</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Instrumentation review + alert audit</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Cost</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Monthly FinOps review</w:t>
            </w:r>
          </w:p>
        </w:tc>
        <w:tc>
          <w:tcPr>
            <w:tcW w:type="pct" w:w="28%"/>
            <w:tcMar>
              <w:top w:type="dxa" w:w="80"/>
              <w:left w:type="dxa" w:w="120"/>
              <w:bottom w:type="dxa" w:w="80"/>
              <w:right w:type="dxa" w:w="120"/>
            </w:tcMar>
            <w:vAlign w:val="top"/>
          </w:tcPr>
          <w:p>
            <w:pPr>
              <w:spacing w:after="0"/>
            </w:pPr>
            <w:r>
              <w:rPr>
                <w:rFonts w:ascii="Arial" w:cs="Arial" w:eastAsia="Arial" w:hAnsi="Arial"/>
                <w:sz w:val="20"/>
                <w:szCs w:val="20"/>
              </w:rPr>
              <w:t xml:space="preserve">FinOps + Engineering Manager</w:t>
            </w:r>
          </w:p>
        </w:tc>
      </w:tr>
    </w:tbl>
    <w:p>
      <w:r>
        <w:br w:type="page"/>
      </w:r>
    </w:p>
    <w:p>
      <w:pPr>
        <w:pStyle w:val="Heading1"/>
        <w:spacing w:after="180" w:before="360"/>
      </w:pPr>
      <w:r>
        <w:rPr>
          <w:rFonts w:ascii="Arial" w:cs="Arial" w:eastAsia="Arial" w:hAnsi="Arial"/>
          <w:b/>
          <w:bCs/>
          <w:color w:val="1F4E79"/>
          <w:sz w:val="36"/>
          <w:szCs w:val="36"/>
        </w:rPr>
        <w:t xml:space="preserve">14. Sign-Off</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pct" w:w="7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Responsibility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Tech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Overall NFR ownership; reconciles trade-offs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SRE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Performance, availability, reliability, observability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CISO / Security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Security and compliance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Engineering Manager</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Maintainability and team capacity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Frontend Lead</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Usability and accessibility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FinOps</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Cost</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Privacy Officer</w:t>
            </w:r>
          </w:p>
        </w:tc>
        <w:tc>
          <w:tcPr>
            <w:tcW w:type="pct" w:w="75%"/>
            <w:tcMar>
              <w:top w:type="dxa" w:w="80"/>
              <w:left w:type="dxa" w:w="120"/>
              <w:bottom w:type="dxa" w:w="80"/>
              <w:right w:type="dxa" w:w="120"/>
            </w:tcMar>
            <w:vAlign w:val="top"/>
          </w:tcPr>
          <w:p>
            <w:pPr>
              <w:spacing w:after="0"/>
            </w:pPr>
            <w:r>
              <w:rPr>
                <w:rFonts w:ascii="Arial" w:cs="Arial" w:eastAsia="Arial" w:hAnsi="Arial"/>
                <w:sz w:val="20"/>
                <w:szCs w:val="20"/>
              </w:rPr>
              <w:t xml:space="preserve">Privacy compliance</w:t>
            </w:r>
          </w:p>
        </w:tc>
      </w:tr>
    </w:tbl>
    <w:p>
      <w:pPr>
        <w:spacing w:after="80"/>
      </w:pPr>
      <w:r>
        <w:t xml:space="preserve"/>
      </w:r>
    </w:p>
    <w:p>
      <w:pPr>
        <w:spacing w:after="80"/>
      </w:pPr>
      <w:r>
        <w:t xml:space="preserve"/>
      </w:r>
    </w:p>
    <w:p>
      <w:pPr>
        <w:spacing w:after="120"/>
        <w:rPr>
          <w:i/>
          <w:iCs/>
          <w:color w:val="666666"/>
        </w:rPr>
      </w:pPr>
      <w:r>
        <w:rPr>
          <w:rFonts w:ascii="Arial" w:cs="Arial" w:eastAsia="Arial" w:hAnsi="Arial"/>
          <w:i/>
          <w:iCs/>
          <w:color w:val="666666"/>
          <w:sz w:val="22"/>
          <w:szCs w:val="22"/>
        </w:rPr>
        <w:t xml:space="preserve">— End of Non-Functional Requirements v2.0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ULP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ULP NFR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F4E79"/>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 w:type="paragraph" w:styleId="Heading4">
    <w:name w:val="Heading 4"/>
    <w:basedOn w:val="Normal"/>
    <w:next w:val="Normal"/>
    <w:qFormat/>
    <w:pPr>
      <w:spacing w:after="9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ULP NFR v2.0</dc:title>
  <dc:creator>ULP Project Team</dc:creator>
  <cp:lastModifiedBy>Un-named</cp:lastModifiedBy>
  <cp:revision>1</cp:revision>
  <dcterms:created xsi:type="dcterms:W3CDTF">2026-05-01T21:51:39.723Z</dcterms:created>
  <dcterms:modified xsi:type="dcterms:W3CDTF">2026-05-01T21:51:39.750Z</dcterms:modified>
</cp:coreProperties>
</file>

<file path=docProps/custom.xml><?xml version="1.0" encoding="utf-8"?>
<Properties xmlns="http://schemas.openxmlformats.org/officeDocument/2006/custom-properties" xmlns:vt="http://schemas.openxmlformats.org/officeDocument/2006/docPropsVTypes"/>
</file>