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ULP Vendor Integration Catalog</w:t>
      </w:r>
    </w:p>
    <w:p>
      <w:pPr>
        <w:spacing w:after="240" w:before="0"/>
        <w:jc w:val="center"/>
      </w:pPr>
      <w:r>
        <w:rPr>
          <w:rFonts w:ascii="Arial" w:cs="Arial" w:eastAsia="Arial" w:hAnsi="Arial"/>
          <w:i/>
          <w:iCs/>
          <w:color w:val="666666"/>
          <w:sz w:val="28"/>
          <w:szCs w:val="28"/>
        </w:rPr>
        <w:t xml:space="preserve">Single Source of Truth for All Third-Party Integrations</w:t>
      </w:r>
    </w:p>
    <w:p>
      <w:pPr>
        <w:spacing w:after="240" w:before="480"/>
        <w:jc w:val="center"/>
      </w:pPr>
      <w:r>
        <w:rPr>
          <w:rFonts w:ascii="Arial" w:cs="Arial" w:eastAsia="Arial" w:hAnsi="Arial"/>
          <w:b/>
          <w:bCs/>
          <w:color w:val="1F4E79"/>
          <w:sz w:val="28"/>
          <w:szCs w:val="28"/>
        </w:rPr>
        <w:t xml:space="preserve">Version 2.0</w:t>
      </w:r>
    </w:p>
    <w:p>
      <w:pPr>
        <w:spacing w:after="240"/>
        <w:jc w:val="center"/>
      </w:pPr>
      <w:r>
        <w:rPr>
          <w:rFonts w:ascii="Arial" w:cs="Arial" w:eastAsia="Arial" w:hAnsi="Arial"/>
          <w:color w:val="666666"/>
          <w:sz w:val="22"/>
          <w:szCs w:val="22"/>
        </w:rPr>
        <w:t xml:space="preserve">2026-05-02</w:t>
      </w:r>
    </w:p>
    <w:p>
      <w:pPr>
        <w:spacing w:after="0" w:before="1440"/>
        <w:jc w:val="center"/>
      </w:pPr>
      <w:r>
        <w:rPr>
          <w:rFonts w:ascii="Arial" w:cs="Arial" w:eastAsia="Arial" w:hAnsi="Arial"/>
          <w:i/>
          <w:iCs/>
          <w:color w:val="999999"/>
          <w:sz w:val="20"/>
          <w:szCs w:val="20"/>
        </w:rPr>
        <w:t xml:space="preserve">For: Backend Engineering, Integration Engineers, Security, Procurement</w:t>
      </w:r>
    </w:p>
    <w:p>
      <w:r>
        <w:br w:type="page"/>
      </w:r>
    </w:p>
    <w:p>
      <w:pPr>
        <w:pStyle w:val="Heading1"/>
        <w:spacing w:after="180" w:before="360"/>
      </w:pPr>
      <w:r>
        <w:rPr>
          <w:rFonts w:ascii="Arial" w:cs="Arial" w:eastAsia="Arial" w:hAnsi="Arial"/>
          <w:b/>
          <w:bCs/>
          <w:color w:val="1F4E79"/>
          <w:sz w:val="36"/>
          <w:szCs w:val="36"/>
        </w:rPr>
        <w:t xml:space="preserve">1. Purpose</w:t>
      </w:r>
    </w:p>
    <w:p>
      <w:pPr>
        <w:spacing w:after="120"/>
      </w:pPr>
      <w:r>
        <w:rPr>
          <w:rFonts w:ascii="Arial" w:cs="Arial" w:eastAsia="Arial" w:hAnsi="Arial"/>
          <w:sz w:val="22"/>
          <w:szCs w:val="22"/>
        </w:rPr>
        <w:t xml:space="preserve">This catalog is the master reference for every external service ULP integrates with: what it does, where credentials live, how it fails over, what data flows out, and what the contract obligations are. Maintained per release; reviewed quarterly.</w:t>
      </w:r>
    </w:p>
    <w:p>
      <w:pPr>
        <w:spacing w:after="80"/>
      </w:pPr>
      <w:r>
        <w:t xml:space="preserve"/>
      </w:r>
    </w:p>
    <w:p>
      <w:pPr>
        <w:pStyle w:val="Heading2"/>
        <w:spacing w:after="140" w:before="280"/>
      </w:pPr>
      <w:r>
        <w:rPr>
          <w:rFonts w:ascii="Arial" w:cs="Arial" w:eastAsia="Arial" w:hAnsi="Arial"/>
          <w:b/>
          <w:bCs/>
          <w:color w:val="2E75B6"/>
          <w:sz w:val="28"/>
          <w:szCs w:val="28"/>
        </w:rPr>
        <w:t xml:space="preserve">1.1 Indian Client Continuity</w:t>
      </w:r>
    </w:p>
    <w:p>
      <w:pPr>
        <w:spacing w:after="120"/>
      </w:pPr>
      <w:r>
        <w:rPr>
          <w:rFonts w:ascii="Arial" w:cs="Arial" w:eastAsia="Arial" w:hAnsi="Arial"/>
          <w:sz w:val="22"/>
          <w:szCs w:val="22"/>
        </w:rPr>
        <w:t xml:space="preserve">All v1.0 vendor integrations (NACH/UPI via PSP, GSTN GSP for IRN, SMS/email vendors, courier APIs) are preserved exactly. v2.0 adds new US vendors (Plaid, Avalara, US ACH PSP, US courier APIs) which are loaded only for US tenants via the plugin pattern. No Indian tenant ever invokes a US vendor and vice versa.</w:t>
      </w:r>
    </w:p>
    <w:p>
      <w:r>
        <w:br w:type="page"/>
      </w:r>
    </w:p>
    <w:p>
      <w:pPr>
        <w:pStyle w:val="Heading1"/>
        <w:spacing w:after="180" w:before="360"/>
      </w:pPr>
      <w:r>
        <w:rPr>
          <w:rFonts w:ascii="Arial" w:cs="Arial" w:eastAsia="Arial" w:hAnsi="Arial"/>
          <w:b/>
          <w:bCs/>
          <w:color w:val="1F4E79"/>
          <w:sz w:val="36"/>
          <w:szCs w:val="36"/>
        </w:rPr>
        <w:t xml:space="preserve">2. Vendor Inventory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tblGrid>
      <w:tr>
        <w:trPr>
          <w:tblHeader/>
        </w:trPr>
        <w:tc>
          <w:tcPr>
            <w:tcW w:type="pct" w:w="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Vendor</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Used For</w:t>
            </w:r>
          </w:p>
        </w:tc>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Country Scope</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Modules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Microsoft Azure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IaaS / PaaS host</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Microsoft Entra ID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Workforce identity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Admin / SSO</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V3</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Keycloak (self-hosted)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Customer identity (per-tenant realm)</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 (region-pinned)</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V4</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GST Suvidha Provider (GSP)</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GST e-invoicing (IRN), e-Way Bill</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M17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V5</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Avalara AvaTax</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sales tax calc + return filing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M18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V6</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Plaid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bank account link + transaction aggregation</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M19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V7</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NACH PSP (e.g., Razorpay X / TransNeft / bank-direct)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 ACH (NACH) + IMPS + RTGS + UPI</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M19 IN (existing v1.0)</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V8</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Federal Reserve / Bank ACH</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ACH origination via partner bank</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M19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V9</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CBP ACE / ABI</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customs filing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M4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V10</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AES (Automated Export System)</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export filing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M4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V11</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ICEGATE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India customs filing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M4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V12</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SCMTR / DGFT portals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 customs / DGFT submissions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M4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V13</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IRS e-file (1099 / W-2)</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US tax filings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M17 US, M20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V14</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TRACES (Income Tax)</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 TDS / Form 16A</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M17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V15</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EPFO + ESIC portals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 payroll filings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M20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V16</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State payroll tax portals (US)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SUTA + state withholding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 (50 states)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M20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V17</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SendGrid / Mailgun</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Transactional email</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M21 Notifications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V18</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Twilio / MSG91</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SMS + WhatsApp</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M21</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V19</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Courier APIs (DHL, FedEx, UPS, BlueDart, Delhivery, etc.)</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Carrier rates + tracking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 (carrier-specific)</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M5, M6, M14</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V20</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GPS / VTS providers (IN)</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Vehicle tracking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M13 IN</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V21</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ELD providers (US)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Driver hours of service</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M13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V22</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IFTA portal (US)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Fuel-tax filings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M13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V23</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OFAC / Sanctions list APIs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Restricted-party screening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M1, M19 US</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V24</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GitHub</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Source control + CI</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Engineering</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V25</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PagerDuty</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On-call paging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V26</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Snyk / Trivy / SonarQube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Security scanning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CI/CD</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V27</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CDN (Azure Front Door / Cloudflare)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Edge delivery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Global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V28</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OpenAI / Azure OpenAI (optional)</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Optional AI features per tenant opt-in</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Region-pinned</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M22, M24</w:t>
            </w:r>
          </w:p>
        </w:tc>
      </w:tr>
      <w:tr>
        <w:tc>
          <w:tcPr>
            <w:tcW w:type="pct" w:w="5%"/>
            <w:tcMar>
              <w:top w:type="dxa" w:w="80"/>
              <w:left w:type="dxa" w:w="120"/>
              <w:bottom w:type="dxa" w:w="80"/>
              <w:right w:type="dxa" w:w="120"/>
            </w:tcMar>
            <w:vAlign w:val="top"/>
          </w:tcPr>
          <w:p>
            <w:pPr>
              <w:spacing w:after="0"/>
            </w:pPr>
            <w:r>
              <w:rPr>
                <w:rFonts w:ascii="Arial" w:cs="Arial" w:eastAsia="Arial" w:hAnsi="Arial"/>
                <w:sz w:val="20"/>
                <w:szCs w:val="20"/>
              </w:rPr>
              <w:t xml:space="preserve">V29</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Azure Maps / Google Maps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Geocoding + routing</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IN + US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M5, M6, M13</w:t>
            </w:r>
          </w:p>
        </w:tc>
      </w:tr>
    </w:tbl>
    <w:p>
      <w:r>
        <w:br w:type="page"/>
      </w:r>
    </w:p>
    <w:p>
      <w:pPr>
        <w:pStyle w:val="Heading1"/>
        <w:spacing w:after="180" w:before="360"/>
      </w:pPr>
      <w:r>
        <w:rPr>
          <w:rFonts w:ascii="Arial" w:cs="Arial" w:eastAsia="Arial" w:hAnsi="Arial"/>
          <w:b/>
          <w:bCs/>
          <w:color w:val="1F4E79"/>
          <w:sz w:val="36"/>
          <w:szCs w:val="36"/>
        </w:rPr>
        <w:t xml:space="preserve">3. Common Integration Patterns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Pattern</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Required For</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Credentials in Key Vault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All vendors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No secrets in code or config; reference Key Vault secret name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Per-tenant credentials (where applicable)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GSP, Avalara (returns filing key), Plaid (per-tenant link tokens)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Stored in tenant-scoped vault entries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Outbound timeout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All HTTP integrations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Default 30s; vendor-specific override; never zero</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Polly retry policy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All HTTP integrations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Exponential backoff with jitter; 3 retries baseline; respect 429 Retry-After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Polly circuit breaker</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All HTTP integrations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Open after 5 failures in 30s; half-open after 60s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Webhook signature validation (inbound)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Plaid, Avalara, GSP, courier callbacks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HMAC-SHA256 with vendor-supplied secret; reject if older than 5 min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Idempotency on outbound writes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Avalara, Plaid, ACH, GSP IRN</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Pass idempotency key; vendor returns cached response on retry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Rate limit awareness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Track per-vendor quota; back off pre-emptively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Vendor health probe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Critical-path vendors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Synthetic monitor every 5 min; surface to dashboard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DPA in place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Any vendor processing PII</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Procurement + Legal sign-off before integration ships</w:t>
            </w:r>
          </w:p>
        </w:tc>
      </w:tr>
    </w:tbl>
    <w:p>
      <w:r>
        <w:br w:type="page"/>
      </w:r>
    </w:p>
    <w:p>
      <w:pPr>
        <w:pStyle w:val="Heading1"/>
        <w:spacing w:after="180" w:before="360"/>
      </w:pPr>
      <w:r>
        <w:rPr>
          <w:rFonts w:ascii="Arial" w:cs="Arial" w:eastAsia="Arial" w:hAnsi="Arial"/>
          <w:b/>
          <w:bCs/>
          <w:color w:val="1F4E79"/>
          <w:sz w:val="36"/>
          <w:szCs w:val="36"/>
        </w:rPr>
        <w:t xml:space="preserve">4. Detailed Vendor Pages — Critical Vendors</w:t>
      </w:r>
    </w:p>
    <w:p>
      <w:pPr>
        <w:spacing w:after="80"/>
      </w:pPr>
      <w:r>
        <w:t xml:space="preserve"/>
      </w:r>
    </w:p>
    <w:p>
      <w:pPr>
        <w:pStyle w:val="Heading2"/>
        <w:spacing w:after="140" w:before="280"/>
      </w:pPr>
      <w:r>
        <w:rPr>
          <w:rFonts w:ascii="Arial" w:cs="Arial" w:eastAsia="Arial" w:hAnsi="Arial"/>
          <w:b/>
          <w:bCs/>
          <w:color w:val="2E75B6"/>
          <w:sz w:val="28"/>
          <w:szCs w:val="28"/>
        </w:rPr>
        <w:t xml:space="preserve">4.1 Avalara AvaTax (V5)</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Module(s)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M18 US Sales Tax Returns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Country scope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US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Auth</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Account ID + License Key in Key Vault (per-tenant if multi-account)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Endpoints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POST /api/v2/transactions/create, /transactions/createoradjust, /companies/{id}/filingcalendars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Failure mode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On 5xx or timeout: queue calc; do not block invoice creation; reconcile in batch nightly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Webhooks (inbound)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Filing status updates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Rate limit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600 req/min (per account); managed via SemaphoreSlim</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DPA</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In place; reviewed annually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Compliance posture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SOC 1, SOC 2 Type II, ISO 27001</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Volume tier; ~$0.01-0.05 per calc; quoted in FinOps Cost Model</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4.2 Plaid (V6)</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Module(s)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M19 US Banking</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Country scope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US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Auth</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client_id + secret per environment (Sandbox / Development / Production) in Key Vault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Per-tenant tokens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Tenant-specific link_token + access_token; encrypted at rest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Endpoints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/link/token/create, /item/public_token/exchange, /transactions/sync, /accounts/get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Webhooks (inbound)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TRANSACTIONS_UPDATED, ITEM_LOGIN_REQUIRED, etc.</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Failure mode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ITEM_LOGIN_REQUIRED → prompt user to re-authenticate; queue affected jobs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Rate limit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Per-product; track in metrics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DPA</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In place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Compliance posture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SOC 2 Type II, ISO 27001</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~$0.30 per link + ~$0.05 per tx (illustrative); see FinOps</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4.3 GSP (V4 — GST e-invoicing)</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Value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Module(s)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M17 IN Accounts (e-invoicing IRN), M13 IN (e-Way Bill)</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Country scope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IN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Auth</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GSTN-empanelled GSP credentials per tenant (tenant’s GSTIN)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Endpoints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GSP-specific (varies); standard E-Invoice + EWB API</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Failure mode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On NIC outage: queue + retry within statutory window; alert customer if persistent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Rate limit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Per-GSP contract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DPA</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In place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Compliance posture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GSTN-empanelled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Per-document fee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Outage history relevance</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NIC outages happen; ULP queue + retry is mandatory</w:t>
            </w:r>
          </w:p>
        </w:tc>
      </w:tr>
    </w:tbl>
    <w:p>
      <w:r>
        <w:br w:type="page"/>
      </w:r>
    </w:p>
    <w:p>
      <w:pPr>
        <w:pStyle w:val="Heading1"/>
        <w:spacing w:after="180" w:before="360"/>
      </w:pPr>
      <w:r>
        <w:rPr>
          <w:rFonts w:ascii="Arial" w:cs="Arial" w:eastAsia="Arial" w:hAnsi="Arial"/>
          <w:b/>
          <w:bCs/>
          <w:color w:val="1F4E79"/>
          <w:sz w:val="36"/>
          <w:szCs w:val="36"/>
        </w:rPr>
        <w:t xml:space="preserve">5. Fallback &amp; Resilience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Vendor</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Fallback</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Avalara</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Cache last-known rates locally; degrade to cached calc with banner; reconcile nightly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Plaid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No fallback; error surfaced; alternative link path (manual upload of BAI2) supported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GSP</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No fallback; legal requirement; queue + retry; banner if outage &gt; 1 hour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NACH PSP</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No fallback for live submission; queue file; submit on next window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SendGrid / Mailgun</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Multi-provider failover (primary + secondary)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Twilio / MSG91</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Multi-provider failover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Courier APIs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Carrier-down state surfaced; user can pick alternate carrier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Maps APIs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Cached geocodes used until refresh succeeds</w:t>
            </w:r>
          </w:p>
        </w:tc>
      </w:tr>
    </w:tbl>
    <w:p>
      <w:r>
        <w:br w:type="page"/>
      </w:r>
    </w:p>
    <w:p>
      <w:pPr>
        <w:pStyle w:val="Heading1"/>
        <w:spacing w:after="180" w:before="360"/>
      </w:pPr>
      <w:r>
        <w:rPr>
          <w:rFonts w:ascii="Arial" w:cs="Arial" w:eastAsia="Arial" w:hAnsi="Arial"/>
          <w:b/>
          <w:bCs/>
          <w:color w:val="1F4E79"/>
          <w:sz w:val="36"/>
          <w:szCs w:val="36"/>
        </w:rPr>
        <w:t xml:space="preserve">6. Onboarding a New Vendor (Process)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Output</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1. Use case justified vs build vs alternative vendors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PM + Tech Lead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Decision memo</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2. Procurement evaluation (compliance posture, contract, pricing)</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Procurement + Legal</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Vendor evaluation form</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3. Security review (data flow diagram, threat model, DPA)</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Security Lead + Privacy Officer</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Security sign-off</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4. Architecture review (failure modes, integration pattern, ADR if cross-cutting)</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Architect Council</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ADR + design</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5. Implementation (sandbox keys, in Key Vault)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Backend dev</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Code + tests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6. Failure injection (chaos test the integration)</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SRE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Validated runbook entry</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7. Catalog entry added to this document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Tech Writer</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PR to ULP_VendorIntegrationCatalog_v2.0.docx</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8. Quarterly review</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Procurement + Security</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Continued / replaced / dropped</w:t>
            </w:r>
          </w:p>
        </w:tc>
      </w:tr>
    </w:tbl>
    <w:p>
      <w:r>
        <w:br w:type="page"/>
      </w:r>
    </w:p>
    <w:p>
      <w:pPr>
        <w:pStyle w:val="Heading1"/>
        <w:spacing w:after="180" w:before="360"/>
      </w:pPr>
      <w:r>
        <w:rPr>
          <w:rFonts w:ascii="Arial" w:cs="Arial" w:eastAsia="Arial" w:hAnsi="Arial"/>
          <w:b/>
          <w:bCs/>
          <w:color w:val="1F4E79"/>
          <w:sz w:val="36"/>
          <w:szCs w:val="36"/>
        </w:rPr>
        <w:t xml:space="preserve">7. Decommissioning a Vendor</w:t>
      </w:r>
    </w:p>
    <w:p>
      <w:pPr>
        <w:pStyle w:val="ListParagraph"/>
        <w:numPr>
          <w:ilvl w:val="0"/>
          <w:numId w:val="2"/>
        </w:numPr>
        <w:spacing w:after="80"/>
      </w:pPr>
      <w:r>
        <w:rPr>
          <w:rFonts w:ascii="Arial" w:cs="Arial" w:eastAsia="Arial" w:hAnsi="Arial"/>
          <w:sz w:val="22"/>
          <w:szCs w:val="22"/>
        </w:rPr>
        <w:t xml:space="preserve">Internal use cases migrated to replacement (or removed).</w:t>
      </w:r>
    </w:p>
    <w:p>
      <w:pPr>
        <w:pStyle w:val="ListParagraph"/>
        <w:numPr>
          <w:ilvl w:val="0"/>
          <w:numId w:val="2"/>
        </w:numPr>
        <w:spacing w:after="80"/>
      </w:pPr>
      <w:r>
        <w:rPr>
          <w:rFonts w:ascii="Arial" w:cs="Arial" w:eastAsia="Arial" w:hAnsi="Arial"/>
          <w:sz w:val="22"/>
          <w:szCs w:val="22"/>
        </w:rPr>
        <w:t xml:space="preserve">Per-tenant credentials revoked + secrets rotated out of Key Vault.</w:t>
      </w:r>
    </w:p>
    <w:p>
      <w:pPr>
        <w:pStyle w:val="ListParagraph"/>
        <w:numPr>
          <w:ilvl w:val="0"/>
          <w:numId w:val="2"/>
        </w:numPr>
        <w:spacing w:after="80"/>
      </w:pPr>
      <w:r>
        <w:rPr>
          <w:rFonts w:ascii="Arial" w:cs="Arial" w:eastAsia="Arial" w:hAnsi="Arial"/>
          <w:sz w:val="22"/>
          <w:szCs w:val="22"/>
        </w:rPr>
        <w:t xml:space="preserve">Outbound traffic to vendor blocked at egress firewall as a final guard.</w:t>
      </w:r>
    </w:p>
    <w:p>
      <w:pPr>
        <w:pStyle w:val="ListParagraph"/>
        <w:numPr>
          <w:ilvl w:val="0"/>
          <w:numId w:val="2"/>
        </w:numPr>
        <w:spacing w:after="80"/>
      </w:pPr>
      <w:r>
        <w:rPr>
          <w:rFonts w:ascii="Arial" w:cs="Arial" w:eastAsia="Arial" w:hAnsi="Arial"/>
          <w:sz w:val="22"/>
          <w:szCs w:val="22"/>
        </w:rPr>
        <w:t xml:space="preserve">Final audit log entry: integration decommissioned with timestamp + operator.</w:t>
      </w:r>
    </w:p>
    <w:p>
      <w:pPr>
        <w:pStyle w:val="ListParagraph"/>
        <w:numPr>
          <w:ilvl w:val="0"/>
          <w:numId w:val="2"/>
        </w:numPr>
        <w:spacing w:after="80"/>
      </w:pPr>
      <w:r>
        <w:rPr>
          <w:rFonts w:ascii="Arial" w:cs="Arial" w:eastAsia="Arial" w:hAnsi="Arial"/>
          <w:sz w:val="22"/>
          <w:szCs w:val="22"/>
        </w:rPr>
        <w:t xml:space="preserve">Catalog entry marked DECOMMISSIONED with end-of-life date; not deleted (audit trail).</w:t>
      </w:r>
    </w:p>
    <w:p>
      <w:r>
        <w:br w:type="page"/>
      </w:r>
    </w:p>
    <w:p>
      <w:pPr>
        <w:pStyle w:val="Heading1"/>
        <w:spacing w:after="180" w:before="360"/>
      </w:pPr>
      <w:r>
        <w:rPr>
          <w:rFonts w:ascii="Arial" w:cs="Arial" w:eastAsia="Arial" w:hAnsi="Arial"/>
          <w:b/>
          <w:bCs/>
          <w:color w:val="1F4E79"/>
          <w:sz w:val="36"/>
          <w:szCs w:val="36"/>
        </w:rPr>
        <w:t xml:space="preserve">8. Sign-Off</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Tech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this catalog; reviews additions / changes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Backend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integration code quality and resilience patterns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Security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vendor security posture review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Privacy Officer</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DPA review for any PII-processing vendor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Procurement</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commercial terms and contract lifecycle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Legal</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Owns contract review and risk assessment</w:t>
            </w:r>
          </w:p>
        </w:tc>
      </w:tr>
    </w:tbl>
    <w:p>
      <w:pPr>
        <w:spacing w:after="80"/>
      </w:pPr>
      <w:r>
        <w:t xml:space="preserve"/>
      </w:r>
    </w:p>
    <w:p>
      <w:pPr>
        <w:spacing w:after="80"/>
      </w:pPr>
      <w:r>
        <w:t xml:space="preserve"/>
      </w:r>
    </w:p>
    <w:p>
      <w:pPr>
        <w:spacing w:after="120"/>
        <w:rPr>
          <w:i/>
          <w:iCs/>
          <w:color w:val="666666"/>
        </w:rPr>
      </w:pPr>
      <w:r>
        <w:rPr>
          <w:rFonts w:ascii="Arial" w:cs="Arial" w:eastAsia="Arial" w:hAnsi="Arial"/>
          <w:i/>
          <w:iCs/>
          <w:color w:val="666666"/>
          <w:sz w:val="22"/>
          <w:szCs w:val="22"/>
        </w:rPr>
        <w:t xml:space="preserve">— End of Vendor Integration Catalog v2.0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Vendor Integration Catalog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Vendor Integration Catalog v2.0</dc:title>
  <dc:creator>ULP Project Team</dc:creator>
  <cp:lastModifiedBy>Un-named</cp:lastModifiedBy>
  <cp:revision>1</cp:revision>
  <dcterms:created xsi:type="dcterms:W3CDTF">2026-05-01T22:01:17.786Z</dcterms:created>
  <dcterms:modified xsi:type="dcterms:W3CDTF">2026-05-01T22:01:17.787Z</dcterms:modified>
</cp:coreProperties>
</file>

<file path=docProps/custom.xml><?xml version="1.0" encoding="utf-8"?>
<Properties xmlns="http://schemas.openxmlformats.org/officeDocument/2006/custom-properties" xmlns:vt="http://schemas.openxmlformats.org/officeDocument/2006/docPropsVTypes"/>
</file>