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pPr>
      <w:r>
        <w:rPr>
          <w:b/>
          <w:bCs/>
          <w:color w:val="C55A11"/>
          <w:sz w:val="22"/>
          <w:szCs w:val="22"/>
        </w:rPr>
        <w:t xml:space="preserve">NEXT MEDIA</w:t>
      </w:r>
    </w:p>
    <w:p>
      <w:pPr>
        <w:spacing w:after="200"/>
      </w:pPr>
      <w:r>
        <w:rPr>
          <w:b/>
          <w:bCs/>
          <w:color w:val="1F3864"/>
          <w:sz w:val="44"/>
          <w:szCs w:val="44"/>
        </w:rPr>
        <w:t xml:space="preserve">Payroll System Review</w:t>
      </w:r>
    </w:p>
    <w:p>
      <w:pPr>
        <w:spacing w:after="500"/>
      </w:pPr>
      <w:r>
        <w:rPr>
          <w:color w:val="595959"/>
          <w:sz w:val="24"/>
          <w:szCs w:val="24"/>
        </w:rPr>
        <w:t xml:space="preserve">Analysis of the current Excel-based payroll workbook and recommendations for a comprehensive, user-friendly payroll system</w:t>
      </w:r>
    </w:p>
    <w:p>
      <w:pPr>
        <w:spacing w:after="160" w:line="276"/>
      </w:pPr>
      <w:r>
        <w:rPr>
          <w:color w:val="595959"/>
          <w:sz w:val="21"/>
          <w:szCs w:val="21"/>
        </w:rPr>
        <w:t xml:space="preserve">Prepared for: Finance / HR / IT stakeholders</w:t>
      </w:r>
    </w:p>
    <w:p>
      <w:pPr>
        <w:spacing w:after="160" w:line="276"/>
      </w:pPr>
      <w:r>
        <w:rPr>
          <w:color w:val="595959"/>
          <w:sz w:val="21"/>
          <w:szCs w:val="21"/>
        </w:rPr>
        <w:t xml:space="preserve">Based on: Template_Payroll.xlsx (Exp, Salary, Bank Exp Allowance, Bank Salary sheets)</w:t>
      </w:r>
    </w:p>
    <w:p>
      <w:pPr>
        <w:spacing w:after="160" w:line="276"/>
      </w:pPr>
      <w:r>
        <w:rPr>
          <w:color w:val="595959"/>
          <w:sz w:val="21"/>
          <w:szCs w:val="21"/>
        </w:rPr>
        <w:t xml:space="preserve">Date: 31 August 2026</w:t>
      </w:r>
    </w:p>
    <w:p>
      <w:r>
        <w:br w:type="page"/>
      </w:r>
    </w:p>
    <w:p>
      <w:pPr>
        <w:pStyle w:val="Heading1"/>
        <w:pBdr>
          <w:bottom w:val="single" w:color="1F3864" w:sz="6" w:space="4"/>
        </w:pBdr>
        <w:spacing w:after="160" w:before="360"/>
      </w:pPr>
      <w:r>
        <w:rPr>
          <w:b/>
          <w:bCs/>
          <w:color w:val="1F3864"/>
          <w:sz w:val="30"/>
          <w:szCs w:val="30"/>
        </w:rPr>
        <w:t xml:space="preserve">1. Executive Summary</w:t>
      </w:r>
    </w:p>
    <w:p>
      <w:pPr>
        <w:spacing w:after="160" w:line="276"/>
      </w:pPr>
      <w:r>
        <w:rPr>
          <w:sz w:val="21"/>
          <w:szCs w:val="21"/>
        </w:rPr>
        <w:t xml:space="preserve">Next Media currently runs payroll for roughly a dozen business units — NBS, NBS Sport, Hillcom, Next Comm, Sanyuka, Next Radio, Afro Mobile, Nile Post, Salaam, NPL, United Media and Master Card, plus independent contractors and wage staff — out of a single four-sheet Excel workbook. Two parallel cycles are run each month: an Expense Allowance run around the 15th and a full Salary run around the 27th. The workbook is genuinely well organised for what it is: consistent columns, built-in cross-check formulas, and a linked bank-payment sheet that pulls net amounts straight through to the disbursement list.</w:t>
      </w:r>
    </w:p>
    <w:p>
      <w:pPr>
        <w:spacing w:after="160" w:line="276"/>
      </w:pPr>
      <w:r>
        <w:rPr>
          <w:sz w:val="21"/>
          <w:szCs w:val="21"/>
        </w:rPr>
        <w:t xml:space="preserve">That said, it is a manual, spreadsheet-native process, and the things that make it fragile are the same things that make Excel payroll fragile everywhere: statutory deductions (PAYE, NSSF) are typed in by hand with no calculation engine behind them; employee details are re-entered independently on each of the four sheets, which has already produced spelling and data-entry drift between sheets; subtotal and grand-total formulas point at hard-coded row numbers, so adding or removing a single employee can silently break a total several sheets away; and there is no access control, approval workflow, payslip generation, or historical reporting layer.</w:t>
      </w:r>
    </w:p>
    <w:p>
      <w:pPr>
        <w:spacing w:after="160" w:line="276"/>
      </w:pPr>
      <w:r>
        <w:rPr>
          <w:sz w:val="21"/>
          <w:szCs w:val="21"/>
        </w:rPr>
        <w:t xml:space="preserve">This document walks through how the current workbook is built, what it does well, where it is exposed to error or risk, and what a purpose-built payroll system should carry forward, fix, and add — organised as a set of requirements the new system should meet, plus a suggested phased rollout.</w:t>
      </w:r>
    </w:p>
    <w:p>
      <w:pPr>
        <w:pStyle w:val="Heading1"/>
        <w:pBdr>
          <w:bottom w:val="single" w:color="1F3864" w:sz="6" w:space="4"/>
        </w:pBdr>
        <w:spacing w:after="160" w:before="360"/>
      </w:pPr>
      <w:r>
        <w:rPr>
          <w:b/>
          <w:bCs/>
          <w:color w:val="1F3864"/>
          <w:sz w:val="30"/>
          <w:szCs w:val="30"/>
        </w:rPr>
        <w:t xml:space="preserve">2. Purpose &amp; Method</w:t>
      </w:r>
    </w:p>
    <w:p>
      <w:pPr>
        <w:spacing w:after="160" w:line="276"/>
      </w:pPr>
      <w:r>
        <w:rPr>
          <w:sz w:val="21"/>
          <w:szCs w:val="21"/>
        </w:rPr>
        <w:t xml:space="preserve">This review is based on a structural analysis of Template_Payroll.xlsx: sheet layout, column headers, formulas (including hidden/blank formula cells), cross-sheet references, data validation rules, formatting conventions, and record counts. No payroll amounts, account numbers, or other confidential figures from the file are reproduced in this document; findings are described structurally so this write-up can be shared and discussed without exposing employee financial data.</w:t>
      </w:r>
    </w:p>
    <w:p>
      <w:pPr>
        <w:pStyle w:val="Heading1"/>
        <w:pBdr>
          <w:bottom w:val="single" w:color="1F3864" w:sz="6" w:space="4"/>
        </w:pBdr>
        <w:spacing w:after="160" w:before="360"/>
      </w:pPr>
      <w:r>
        <w:rPr>
          <w:b/>
          <w:bCs/>
          <w:color w:val="1F3864"/>
          <w:sz w:val="30"/>
          <w:szCs w:val="30"/>
        </w:rPr>
        <w:t xml:space="preserve">3. Current System Overview</w:t>
      </w:r>
    </w:p>
    <w:p>
      <w:pPr>
        <w:pStyle w:val="Heading2"/>
        <w:spacing w:after="120" w:before="280"/>
      </w:pPr>
      <w:r>
        <w:rPr>
          <w:b/>
          <w:bCs/>
          <w:color w:val="C55A11"/>
          <w:sz w:val="24"/>
          <w:szCs w:val="24"/>
        </w:rPr>
        <w:t xml:space="preserve">3.1 Workbook structure</w:t>
      </w:r>
    </w:p>
    <w:p>
      <w:pPr>
        <w:spacing w:after="160" w:line="276"/>
      </w:pPr>
      <w:r>
        <w:rPr>
          <w:sz w:val="21"/>
          <w:szCs w:val="21"/>
        </w:rPr>
        <w:t xml:space="preserve">The workbook has four sheets, each serving a distinct role in the monthly cycle: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41"/>
        <w:gridCol w:w="5392"/>
        <w:gridCol w:w="3047"/>
      </w:tblGrid>
      <w:tr>
        <w:trPr>
          <w:tblHeader/>
        </w:trPr>
        <w:tc>
          <w:tcPr>
            <w:tcW w:type="dxa" w:w="1641"/>
            <w:shd w:fill="1F3864" w:val="clear"/>
            <w:tcMar>
              <w:top w:type="dxa" w:w="80"/>
              <w:left w:type="dxa" w:w="100"/>
              <w:bottom w:type="dxa" w:w="80"/>
              <w:right w:type="dxa" w:w="100"/>
            </w:tcMar>
            <w:vAlign w:val="center"/>
          </w:tcPr>
          <w:p>
            <w:pPr>
              <w:jc w:val="left"/>
            </w:pPr>
            <w:r>
              <w:rPr>
                <w:b/>
                <w:bCs/>
                <w:color w:val="FFFFFF"/>
                <w:sz w:val="19"/>
                <w:szCs w:val="19"/>
              </w:rPr>
              <w:t xml:space="preserve">Sheet</w:t>
            </w:r>
          </w:p>
        </w:tc>
        <w:tc>
          <w:tcPr>
            <w:tcW w:type="dxa" w:w="5392"/>
            <w:shd w:fill="1F3864" w:val="clear"/>
            <w:tcMar>
              <w:top w:type="dxa" w:w="80"/>
              <w:left w:type="dxa" w:w="100"/>
              <w:bottom w:type="dxa" w:w="80"/>
              <w:right w:type="dxa" w:w="100"/>
            </w:tcMar>
            <w:vAlign w:val="center"/>
          </w:tcPr>
          <w:p>
            <w:pPr>
              <w:jc w:val="left"/>
            </w:pPr>
            <w:r>
              <w:rPr>
                <w:b/>
                <w:bCs/>
                <w:color w:val="FFFFFF"/>
                <w:sz w:val="19"/>
                <w:szCs w:val="19"/>
              </w:rPr>
              <w:t xml:space="preserve">Role</w:t>
            </w:r>
          </w:p>
        </w:tc>
        <w:tc>
          <w:tcPr>
            <w:tcW w:type="dxa" w:w="3047"/>
            <w:shd w:fill="1F3864" w:val="clear"/>
            <w:tcMar>
              <w:top w:type="dxa" w:w="80"/>
              <w:left w:type="dxa" w:w="100"/>
              <w:bottom w:type="dxa" w:w="80"/>
              <w:right w:type="dxa" w:w="100"/>
            </w:tcMar>
            <w:vAlign w:val="center"/>
          </w:tcPr>
          <w:p>
            <w:pPr>
              <w:jc w:val="left"/>
            </w:pPr>
            <w:r>
              <w:rPr>
                <w:b/>
                <w:bCs/>
                <w:color w:val="FFFFFF"/>
                <w:sz w:val="19"/>
                <w:szCs w:val="19"/>
              </w:rPr>
              <w:t xml:space="preserve">Approx. size</w:t>
            </w:r>
          </w:p>
        </w:tc>
      </w:tr>
      <w:tr>
        <w:tc>
          <w:tcPr>
            <w:tcW w:type="dxa" w:w="1641"/>
            <w:tcMar>
              <w:top w:type="dxa" w:w="80"/>
              <w:left w:type="dxa" w:w="100"/>
              <w:bottom w:type="dxa" w:w="80"/>
              <w:right w:type="dxa" w:w="100"/>
            </w:tcMar>
            <w:vAlign w:val="center"/>
          </w:tcPr>
          <w:p>
            <w:pPr>
              <w:jc w:val="left"/>
            </w:pPr>
            <w:r>
              <w:rPr>
                <w:b w:val="false"/>
                <w:bCs w:val="false"/>
                <w:color w:val="000000"/>
                <w:sz w:val="19"/>
                <w:szCs w:val="19"/>
              </w:rPr>
              <w:t xml:space="preserve">Exp</w:t>
            </w:r>
          </w:p>
        </w:tc>
        <w:tc>
          <w:tcPr>
            <w:tcW w:type="dxa" w:w="5392"/>
            <w:tcMar>
              <w:top w:type="dxa" w:w="80"/>
              <w:left w:type="dxa" w:w="100"/>
              <w:bottom w:type="dxa" w:w="80"/>
              <w:right w:type="dxa" w:w="100"/>
            </w:tcMar>
            <w:vAlign w:val="center"/>
          </w:tcPr>
          <w:p>
            <w:pPr>
              <w:jc w:val="left"/>
            </w:pPr>
            <w:r>
              <w:rPr>
                <w:b w:val="false"/>
                <w:bCs w:val="false"/>
                <w:color w:val="000000"/>
                <w:sz w:val="19"/>
                <w:szCs w:val="19"/>
              </w:rPr>
              <w:t xml:space="preserve">Mid-month Expense Allowance run — gross allowance less recurring deductions, by employee, grouped by business unit</w:t>
            </w:r>
          </w:p>
        </w:tc>
        <w:tc>
          <w:tcPr>
            <w:tcW w:type="dxa" w:w="3047"/>
            <w:tcMar>
              <w:top w:type="dxa" w:w="80"/>
              <w:left w:type="dxa" w:w="100"/>
              <w:bottom w:type="dxa" w:w="80"/>
              <w:right w:type="dxa" w:w="100"/>
            </w:tcMar>
            <w:vAlign w:val="center"/>
          </w:tcPr>
          <w:p>
            <w:pPr>
              <w:jc w:val="left"/>
            </w:pPr>
            <w:r>
              <w:rPr>
                <w:b w:val="false"/>
                <w:bCs w:val="false"/>
                <w:color w:val="000000"/>
                <w:sz w:val="19"/>
                <w:szCs w:val="19"/>
              </w:rPr>
              <w:t xml:space="preserve">~300 employee rows across 13 unit blocks</w:t>
            </w:r>
          </w:p>
        </w:tc>
      </w:tr>
      <w:tr>
        <w:tc>
          <w:tcPr>
            <w:tcW w:type="dxa" w:w="1641"/>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Salary</w:t>
            </w:r>
          </w:p>
        </w:tc>
        <w:tc>
          <w:tcPr>
            <w:tcW w:type="dxa" w:w="5392"/>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Month-end Salary run — basic salary, statutory deductions, recurring deductions, net pay, grouped the same way</w:t>
            </w:r>
          </w:p>
        </w:tc>
        <w:tc>
          <w:tcPr>
            <w:tcW w:type="dxa" w:w="3047"/>
            <w:shd w:fill="F2F2F2" w:val="clear"/>
            <w:tcMar>
              <w:top w:type="dxa" w:w="80"/>
              <w:left w:type="dxa" w:w="100"/>
              <w:bottom w:type="dxa" w:w="80"/>
              <w:right w:type="dxa" w:w="100"/>
            </w:tcMar>
            <w:vAlign w:val="center"/>
          </w:tcPr>
          <w:p>
            <w:pPr>
              <w:jc w:val="left"/>
            </w:pPr>
            <w:r>
              <w:rPr>
                <w:b w:val="false"/>
                <w:bCs w:val="false"/>
                <w:color w:val="000000"/>
                <w:sz w:val="19"/>
                <w:szCs w:val="19"/>
              </w:rPr>
              <w:t xml:space="preserve">~400+ employee rows across 13+ unit/category blocks</w:t>
            </w:r>
          </w:p>
        </w:tc>
      </w:tr>
      <w:tr>
        <w:tc>
          <w:tcPr>
            <w:tcW w:type="dxa" w:w="1641"/>
            <w:tcMar>
              <w:top w:type="dxa" w:w="80"/>
              <w:left w:type="dxa" w:w="100"/>
              <w:bottom w:type="dxa" w:w="80"/>
              <w:right w:type="dxa" w:w="100"/>
            </w:tcMar>
            <w:vAlign w:val="center"/>
          </w:tcPr>
          <w:p>
            <w:pPr>
              <w:jc w:val="left"/>
            </w:pPr>
            <w:r>
              <w:rPr>
                <w:b w:val="false"/>
                <w:bCs w:val="false"/>
                <w:color w:val="000000"/>
                <w:sz w:val="19"/>
                <w:szCs w:val="19"/>
              </w:rPr>
              <w:t xml:space="preserve">Bank Exp Allowance</w:t>
            </w:r>
          </w:p>
        </w:tc>
        <w:tc>
          <w:tcPr>
            <w:tcW w:type="dxa" w:w="5392"/>
            <w:tcMar>
              <w:top w:type="dxa" w:w="80"/>
              <w:left w:type="dxa" w:w="100"/>
              <w:bottom w:type="dxa" w:w="80"/>
              <w:right w:type="dxa" w:w="100"/>
            </w:tcMar>
            <w:vAlign w:val="center"/>
          </w:tcPr>
          <w:p>
            <w:pPr>
              <w:jc w:val="left"/>
            </w:pPr>
            <w:r>
              <w:rPr>
                <w:b w:val="false"/>
                <w:bCs w:val="false"/>
                <w:color w:val="000000"/>
                <w:sz w:val="19"/>
                <w:szCs w:val="19"/>
              </w:rPr>
              <w:t xml:space="preserve">Bank disbursement list for the Expense Allowance run — name, account number, amount pulled from Exp</w:t>
            </w:r>
          </w:p>
        </w:tc>
        <w:tc>
          <w:tcPr>
            <w:tcW w:type="dxa" w:w="3047"/>
            <w:tcMar>
              <w:top w:type="dxa" w:w="80"/>
              <w:left w:type="dxa" w:w="100"/>
              <w:bottom w:type="dxa" w:w="80"/>
              <w:right w:type="dxa" w:w="100"/>
            </w:tcMar>
            <w:vAlign w:val="center"/>
          </w:tcPr>
          <w:p>
            <w:pPr>
              <w:jc w:val="left"/>
            </w:pPr>
            <w:r>
              <w:rPr>
                <w:b w:val="false"/>
                <w:bCs w:val="false"/>
                <w:color w:val="000000"/>
                <w:sz w:val="19"/>
                <w:szCs w:val="19"/>
              </w:rPr>
              <w:t xml:space="preserve">~410 rows</w:t>
            </w:r>
          </w:p>
        </w:tc>
      </w:tr>
      <w:tr>
        <w:tc>
          <w:tcPr>
            <w:tcW w:type="dxa" w:w="1641"/>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Bank Salary</w:t>
            </w:r>
          </w:p>
        </w:tc>
        <w:tc>
          <w:tcPr>
            <w:tcW w:type="dxa" w:w="5392"/>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Bank disbursement list for the Salary run — name, account/reference, amount pulled from Salary</w:t>
            </w:r>
          </w:p>
        </w:tc>
        <w:tc>
          <w:tcPr>
            <w:tcW w:type="dxa" w:w="3047"/>
            <w:shd w:fill="F2F2F2" w:val="clear"/>
            <w:tcMar>
              <w:top w:type="dxa" w:w="80"/>
              <w:left w:type="dxa" w:w="100"/>
              <w:bottom w:type="dxa" w:w="80"/>
              <w:right w:type="dxa" w:w="100"/>
            </w:tcMar>
            <w:vAlign w:val="center"/>
          </w:tcPr>
          <w:p>
            <w:pPr>
              <w:jc w:val="left"/>
            </w:pPr>
            <w:r>
              <w:rPr>
                <w:b w:val="false"/>
                <w:bCs w:val="false"/>
                <w:color w:val="000000"/>
                <w:sz w:val="19"/>
                <w:szCs w:val="19"/>
              </w:rPr>
              <w:t xml:space="preserve">~525 rows</w:t>
            </w:r>
          </w:p>
        </w:tc>
      </w:tr>
    </w:tbl>
    <w:p>
      <w:pPr>
        <w:spacing w:after="240" w:before="40"/>
      </w:pPr>
      <w:r>
        <w:rPr>
          <w:i/>
          <w:iCs/>
          <w:color w:val="595959"/>
          <w:sz w:val="18"/>
          <w:szCs w:val="18"/>
        </w:rPr>
        <w:t xml:space="preserve">Row counts are approximate, read directly from the populated ranges in the workbook.</w:t>
      </w:r>
    </w:p>
    <w:p>
      <w:pPr>
        <w:pStyle w:val="Heading2"/>
        <w:spacing w:after="120" w:before="280"/>
      </w:pPr>
      <w:r>
        <w:rPr>
          <w:b/>
          <w:bCs/>
          <w:color w:val="C55A11"/>
          <w:sz w:val="24"/>
          <w:szCs w:val="24"/>
        </w:rPr>
        <w:t xml:space="preserve">3.2 How the Exp and Salary sheets are built</w:t>
      </w:r>
    </w:p>
    <w:p>
      <w:pPr>
        <w:spacing w:after="160" w:line="276"/>
      </w:pPr>
      <w:r>
        <w:rPr>
          <w:sz w:val="21"/>
          <w:szCs w:val="21"/>
        </w:rPr>
        <w:t xml:space="preserve">Both sheets follow the same pattern: a company letterhead block, a column header row, then one block per business unit. Each block lists employees with a running serial number, name and position, followed by the pay figures; each block ends in its own TOTAL row; and the sheet ends with a GRAND TOTAL row that adds up every block's total.</w:t>
      </w:r>
    </w:p>
    <w:p>
      <w:pPr>
        <w:pStyle w:val="Heading3"/>
        <w:spacing w:after="80" w:before="200"/>
      </w:pPr>
      <w:r>
        <w:rPr>
          <w:b/>
          <w:bCs/>
          <w:color w:val="595959"/>
          <w:sz w:val="22"/>
          <w:szCs w:val="22"/>
        </w:rPr>
        <w:t xml:space="preserve">Exp sheet columns</w:t>
      </w:r>
    </w:p>
    <w:p>
      <w:pPr>
        <w:spacing w:after="160" w:line="276"/>
      </w:pPr>
      <w:r>
        <w:rPr>
          <w:sz w:val="21"/>
          <w:szCs w:val="21"/>
        </w:rPr>
        <w:t xml:space="preserve">Name, Position, Expense Allowance (gross), then recurring deduction columns — SACCO, Food, Medicare, Hire Purchase, Cost Share, ID Replacement, Fuel/Advance — followed by a formula-driven Net Expense Allowance, a running total check, and a variance column that should always equal zero.</w:t>
      </w:r>
    </w:p>
    <w:p>
      <w:pPr>
        <w:pStyle w:val="Heading3"/>
        <w:spacing w:after="80" w:before="200"/>
      </w:pPr>
      <w:r>
        <w:rPr>
          <w:b/>
          <w:bCs/>
          <w:color w:val="595959"/>
          <w:sz w:val="22"/>
          <w:szCs w:val="22"/>
        </w:rPr>
        <w:t xml:space="preserve">Salary sheet columns</w:t>
      </w:r>
    </w:p>
    <w:p>
      <w:pPr>
        <w:spacing w:after="160" w:line="276"/>
      </w:pPr>
      <w:r>
        <w:rPr>
          <w:sz w:val="21"/>
          <w:szCs w:val="21"/>
        </w:rPr>
        <w:t xml:space="preserve">Staff ID, Name, Position, Salary, Gross Pay, PAYE, NSSF 10%, NSSF 5%, Total Deduction, then the same family of recurring deductions (SACCO, Food, Medicare, Hire Purchase, Cost Share, ID Replacement, Penalty), a formula-driven Net Pay, a running total check, and a variance column.</w:t>
      </w:r>
    </w:p>
    <w:p>
      <w:pPr>
        <w:pStyle w:val="Heading3"/>
        <w:spacing w:after="80" w:before="200"/>
      </w:pPr>
      <w:r>
        <w:rPr>
          <w:b/>
          <w:bCs/>
          <w:color w:val="595959"/>
          <w:sz w:val="22"/>
          <w:szCs w:val="22"/>
        </w:rPr>
        <w:t xml:space="preserve">Bank sheets</w:t>
      </w:r>
    </w:p>
    <w:p>
      <w:pPr>
        <w:spacing w:after="160" w:line="276"/>
      </w:pPr>
      <w:r>
        <w:rPr>
          <w:sz w:val="21"/>
          <w:szCs w:val="21"/>
        </w:rPr>
        <w:t xml:space="preserve">Bank Exp Allowance and Bank Salary are flat payment lists — serial number, name, bank account number, amount — built so the Amount column pulls its value directly from the matching row on the Exp or Salary sheet (for example, a formula referencing a specific Exp sheet cell for that person's net amount). Bank Salary also carries a per-business-unit reconciliation block near the bottom that compares the sum of individual amounts against the corresponding sheet total, to catch mismatches before the bank file goes out.</w:t>
      </w:r>
    </w:p>
    <w:p>
      <w:pPr>
        <w:pStyle w:val="Heading2"/>
        <w:spacing w:after="120" w:before="280"/>
      </w:pPr>
      <w:r>
        <w:rPr>
          <w:b/>
          <w:bCs/>
          <w:color w:val="C55A11"/>
          <w:sz w:val="24"/>
          <w:szCs w:val="24"/>
        </w:rPr>
        <w:t xml:space="preserve">3.3 Two pay cycles, one workforce</w:t>
      </w:r>
    </w:p>
    <w:p>
      <w:pPr>
        <w:spacing w:after="160" w:line="276"/>
      </w:pPr>
      <w:r>
        <w:rPr>
          <w:sz w:val="21"/>
          <w:szCs w:val="21"/>
        </w:rPr>
        <w:t xml:space="preserve">The Exp sheet header is dated mid-month (the run around the 15th) and the Salary sheet header is dated for month-end (around the 27th). In effect, Next Media runs two payment cycles against largely the same set of people every month — a mid-month expense/allowance advance and an end-of-month salary settlement — each with its own deduction set and its own bank file.</w:t>
      </w:r>
    </w:p>
    <w:p>
      <w:pPr>
        <w:pStyle w:val="Heading1"/>
        <w:pBdr>
          <w:bottom w:val="single" w:color="1F3864" w:sz="6" w:space="4"/>
        </w:pBdr>
        <w:spacing w:after="160" w:before="360"/>
      </w:pPr>
      <w:r>
        <w:rPr>
          <w:b/>
          <w:bCs/>
          <w:color w:val="1F3864"/>
          <w:sz w:val="30"/>
          <w:szCs w:val="30"/>
        </w:rPr>
        <w:t xml:space="preserve">4. What the Current Workbook Does Well</w:t>
      </w:r>
    </w:p>
    <w:p>
      <w:pPr>
        <w:spacing w:after="160" w:line="276"/>
      </w:pPr>
      <w:r>
        <w:rPr>
          <w:sz w:val="21"/>
          <w:szCs w:val="21"/>
        </w:rPr>
        <w:t xml:space="preserve">Before proposing changes, it's worth naming what already works — a new system should preserve these rather than reinvent them:</w:t>
      </w:r>
    </w:p>
    <w:p>
      <w:pPr>
        <w:pStyle w:val="ListParagraph"/>
        <w:numPr>
          <w:ilvl w:val="0"/>
          <w:numId w:val="2"/>
        </w:numPr>
        <w:spacing w:after="90" w:line="270"/>
      </w:pPr>
      <w:r>
        <w:rPr>
          <w:b/>
          <w:bCs/>
          <w:sz w:val="21"/>
          <w:szCs w:val="21"/>
        </w:rPr>
        <w:t xml:space="preserve">Consolidated multi-entity view: </w:t>
      </w:r>
      <w:r>
        <w:rPr>
          <w:sz w:val="21"/>
          <w:szCs w:val="21"/>
        </w:rPr>
        <w:t xml:space="preserve">all business units are visible in one file, which is valuable for group-level oversight that a set of disconnected per-entity spreadsheets would not give.</w:t>
      </w:r>
    </w:p>
    <w:p>
      <w:pPr>
        <w:pStyle w:val="ListParagraph"/>
        <w:numPr>
          <w:ilvl w:val="0"/>
          <w:numId w:val="2"/>
        </w:numPr>
        <w:spacing w:after="90" w:line="270"/>
      </w:pPr>
      <w:r>
        <w:rPr>
          <w:b/>
          <w:bCs/>
          <w:sz w:val="21"/>
          <w:szCs w:val="21"/>
        </w:rPr>
        <w:t xml:space="preserve">Consistent structure entity-to-entity: </w:t>
      </w:r>
      <w:r>
        <w:rPr>
          <w:sz w:val="21"/>
          <w:szCs w:val="21"/>
        </w:rPr>
        <w:t xml:space="preserve">every business unit block uses the same columns and the same formula pattern, which keeps the sheet learnable even at 400+ rows.</w:t>
      </w:r>
    </w:p>
    <w:p>
      <w:pPr>
        <w:pStyle w:val="ListParagraph"/>
        <w:numPr>
          <w:ilvl w:val="0"/>
          <w:numId w:val="2"/>
        </w:numPr>
        <w:spacing w:after="90" w:line="270"/>
      </w:pPr>
      <w:r>
        <w:rPr>
          <w:b/>
          <w:bCs/>
          <w:sz w:val="21"/>
          <w:szCs w:val="21"/>
        </w:rPr>
        <w:t xml:space="preserve">Built-in arithmetic checks: </w:t>
      </w:r>
      <w:r>
        <w:rPr>
          <w:sz w:val="21"/>
          <w:szCs w:val="21"/>
        </w:rPr>
        <w:t xml:space="preserve">each row carries a running-total column and a variance column (gross minus the sum of net + deductions), so a typo in one deduction cell is visible as a non-zero variance rather than silently absorbed.</w:t>
      </w:r>
    </w:p>
    <w:p>
      <w:pPr>
        <w:pStyle w:val="ListParagraph"/>
        <w:numPr>
          <w:ilvl w:val="0"/>
          <w:numId w:val="2"/>
        </w:numPr>
        <w:spacing w:after="90" w:line="270"/>
      </w:pPr>
      <w:r>
        <w:rPr>
          <w:b/>
          <w:bCs/>
          <w:sz w:val="21"/>
          <w:szCs w:val="21"/>
        </w:rPr>
        <w:t xml:space="preserve">Linked bank files: </w:t>
      </w:r>
      <w:r>
        <w:rPr>
          <w:sz w:val="21"/>
          <w:szCs w:val="21"/>
        </w:rPr>
        <w:t xml:space="preserve">disbursement amounts are pulled by formula from the payroll sheets rather than retyped, which removes one obvious source of transcription error.</w:t>
      </w:r>
    </w:p>
    <w:p>
      <w:pPr>
        <w:pStyle w:val="ListParagraph"/>
        <w:numPr>
          <w:ilvl w:val="0"/>
          <w:numId w:val="2"/>
        </w:numPr>
        <w:spacing w:after="90" w:line="270"/>
      </w:pPr>
      <w:r>
        <w:rPr>
          <w:b/>
          <w:bCs/>
          <w:sz w:val="21"/>
          <w:szCs w:val="21"/>
        </w:rPr>
        <w:t xml:space="preserve">A reconciliation step: </w:t>
      </w:r>
      <w:r>
        <w:rPr>
          <w:sz w:val="21"/>
          <w:szCs w:val="21"/>
        </w:rPr>
        <w:t xml:space="preserve">the bottom of the Bank Salary sheet already checks per-unit bank totals against payroll totals before disbursement — the instinct for control is there, it's just manual and easy to skip under deadline pressure.</w:t>
      </w:r>
    </w:p>
    <w:p>
      <w:r>
        <w:br w:type="page"/>
      </w:r>
    </w:p>
    <w:p>
      <w:pPr>
        <w:pStyle w:val="Heading1"/>
        <w:pBdr>
          <w:bottom w:val="single" w:color="1F3864" w:sz="6" w:space="4"/>
        </w:pBdr>
        <w:spacing w:after="160" w:before="360"/>
      </w:pPr>
      <w:r>
        <w:rPr>
          <w:b/>
          <w:bCs/>
          <w:color w:val="1F3864"/>
          <w:sz w:val="30"/>
          <w:szCs w:val="30"/>
        </w:rPr>
        <w:t xml:space="preserve">5. Gaps and Risks in the Current Approach</w:t>
      </w:r>
    </w:p>
    <w:p>
      <w:pPr>
        <w:spacing w:after="160" w:line="276"/>
      </w:pPr>
      <w:r>
        <w:rPr>
          <w:sz w:val="21"/>
          <w:szCs w:val="21"/>
        </w:rPr>
        <w:t xml:space="preserve">These are the structural reasons a spreadsheet-based process becomes harder to trust as headcount and business units grow, based on what's actually in the file:</w:t>
      </w:r>
    </w:p>
    <w:p>
      <w:pPr>
        <w:pStyle w:val="Heading2"/>
        <w:spacing w:after="120" w:before="280"/>
      </w:pPr>
      <w:r>
        <w:rPr>
          <w:b/>
          <w:bCs/>
          <w:color w:val="C55A11"/>
          <w:sz w:val="24"/>
          <w:szCs w:val="24"/>
        </w:rPr>
        <w:t xml:space="preserve">5.1 No statutory calculation engine</w:t>
      </w:r>
    </w:p>
    <w:p>
      <w:pPr>
        <w:spacing w:after="160" w:line="276"/>
      </w:pPr>
      <w:r>
        <w:rPr>
          <w:sz w:val="21"/>
          <w:szCs w:val="21"/>
        </w:rPr>
        <w:t xml:space="preserve">Across the Salary sheet, the Salary, Gross Pay, PAYE, NSSF 10%, NSSF 5% and Total Deduction columns contain zero formulas anywhere in the sheet — every figure in those columns is typed or pasted in by hand each month. That means PAYE and NSSF are being computed outside the workbook (or manually), with no link back to a defined, versioned tax table inside the file. It works, but it depends entirely on whoever enters the numbers getting the current URA PAYE bands and NSSF rates right, every month, for every one of ~400 people, with no built-in cross-check.</w:t>
      </w:r>
    </w:p>
    <w:p>
      <w:pPr>
        <w:pStyle w:val="Heading2"/>
        <w:spacing w:after="120" w:before="280"/>
      </w:pPr>
      <w:r>
        <w:rPr>
          <w:b/>
          <w:bCs/>
          <w:color w:val="C55A11"/>
          <w:sz w:val="24"/>
          <w:szCs w:val="24"/>
        </w:rPr>
        <w:t xml:space="preserve">5.2 No single employee master record</w:t>
      </w:r>
    </w:p>
    <w:p>
      <w:pPr>
        <w:spacing w:after="160" w:line="276"/>
      </w:pPr>
      <w:r>
        <w:rPr>
          <w:sz w:val="21"/>
          <w:szCs w:val="21"/>
        </w:rPr>
        <w:t xml:space="preserve">Name, position, staff ID and bank details are entered independently on each of the four sheets rather than drawn from one source. This has already produced drift: the same employee's name is spelled two different ways on the Exp and Salary sheets in more than one case (a one- or two-letter difference each time — e.g. a surname ending '...gulemye' spelled with an 'h' on one sheet and an 'r' on the other, and a name with a single vs. double letter at the end of the surname on the other pair of sheets). Individually these are harmless typos; systemically they show that there is no reconciliation between how each sheet is populated, which becomes a real problem the moment matching is done by name rather than by ID.</w:t>
      </w:r>
    </w:p>
    <w:p>
      <w:pPr>
        <w:pStyle w:val="Heading2"/>
        <w:spacing w:after="120" w:before="280"/>
      </w:pPr>
      <w:r>
        <w:rPr>
          <w:b/>
          <w:bCs/>
          <w:color w:val="C55A11"/>
          <w:sz w:val="24"/>
          <w:szCs w:val="24"/>
        </w:rPr>
        <w:t xml:space="preserve">5.3 Fragile, hard-coded totals</w:t>
      </w:r>
    </w:p>
    <w:p>
      <w:pPr>
        <w:spacing w:after="160" w:line="276"/>
      </w:pPr>
      <w:r>
        <w:rPr>
          <w:sz w:val="21"/>
          <w:szCs w:val="21"/>
        </w:rPr>
        <w:t xml:space="preserve">Business-unit subtotals and the sheet grand total are formulas that add specific, hard-coded row numbers (for example, the grand total on the Exp sheet is a sum of about ten specific cell references, one per business-unit total row). Inserting or deleting a single employee row shifts everything below it, and any formula that was not written as a full-range reference will silently stop including the right rows, or start including the wrong ones, with no error thrown.</w:t>
      </w:r>
    </w:p>
    <w:p>
      <w:pPr>
        <w:pStyle w:val="Heading2"/>
        <w:spacing w:after="120" w:before="280"/>
      </w:pPr>
      <w:r>
        <w:rPr>
          <w:b/>
          <w:bCs/>
          <w:color w:val="C55A11"/>
          <w:sz w:val="24"/>
          <w:szCs w:val="24"/>
        </w:rPr>
        <w:t xml:space="preserve">5.4 No access control or audit trail</w:t>
      </w:r>
    </w:p>
    <w:p>
      <w:pPr>
        <w:spacing w:after="160" w:line="276"/>
      </w:pPr>
      <w:r>
        <w:rPr>
          <w:sz w:val="21"/>
          <w:szCs w:val="21"/>
        </w:rPr>
        <w:t xml:space="preserve">The workbook is not sheet-protected and has essentially no data validation (one partial, and slightly inconsistent, account-number-length check on the Salary sheet is the only rule found). Anyone who opens the file can overwrite a formula cell, a total, or a deduction figure directly, and there is no record of who changed what or when.</w:t>
      </w:r>
    </w:p>
    <w:p>
      <w:pPr>
        <w:pStyle w:val="Heading2"/>
        <w:spacing w:after="120" w:before="280"/>
      </w:pPr>
      <w:r>
        <w:rPr>
          <w:b/>
          <w:bCs/>
          <w:color w:val="C55A11"/>
          <w:sz w:val="24"/>
          <w:szCs w:val="24"/>
        </w:rPr>
        <w:t xml:space="preserve">5.5 Inconsistent data completeness</w:t>
      </w:r>
    </w:p>
    <w:p>
      <w:pPr>
        <w:spacing w:after="160" w:line="276"/>
      </w:pPr>
      <w:r>
        <w:rPr>
          <w:sz w:val="21"/>
          <w:szCs w:val="21"/>
        </w:rPr>
        <w:t xml:space="preserve">A meaningful number of employee rows across both sheets are missing Position and/or Staff ID, particularly in some of the smaller business-unit blocks. There's no mandatory-field enforcement, so completeness depends entirely on whoever is typing that month's list remembering to fill every column.</w:t>
      </w:r>
    </w:p>
    <w:p>
      <w:pPr>
        <w:pStyle w:val="Heading2"/>
        <w:spacing w:after="120" w:before="280"/>
      </w:pPr>
      <w:r>
        <w:rPr>
          <w:b/>
          <w:bCs/>
          <w:color w:val="C55A11"/>
          <w:sz w:val="24"/>
          <w:szCs w:val="24"/>
        </w:rPr>
        <w:t xml:space="preserve">5.6 Manual, error-prone monthly rebuild</w:t>
      </w:r>
    </w:p>
    <w:p>
      <w:pPr>
        <w:spacing w:after="160" w:line="276"/>
      </w:pPr>
      <w:r>
        <w:rPr>
          <w:sz w:val="21"/>
          <w:szCs w:val="21"/>
        </w:rPr>
        <w:t xml:space="preserve">The report title on each sheet has the pay period hand-typed into a text string (e.g. "PAYROLL FOR THE MONTH ENDED 27 JULY, 2026"), so it has to be edited correctly every cycle. New joiners and leavers require inserting a row in the correct business-unit block, copying the formula pattern across every formula column, and re-pointing the corresponding Bank sheet reference — several manual, easy-to-miss steps for a single change.</w:t>
      </w:r>
    </w:p>
    <w:p>
      <w:pPr>
        <w:pStyle w:val="Heading2"/>
        <w:spacing w:after="120" w:before="280"/>
      </w:pPr>
      <w:r>
        <w:rPr>
          <w:b/>
          <w:bCs/>
          <w:color w:val="C55A11"/>
          <w:sz w:val="24"/>
          <w:szCs w:val="24"/>
        </w:rPr>
        <w:t xml:space="preserve">5.7 A small but real formula inconsistency</w:t>
      </w:r>
    </w:p>
    <w:p>
      <w:pPr>
        <w:spacing w:after="160" w:line="276"/>
      </w:pPr>
      <w:r>
        <w:rPr>
          <w:sz w:val="21"/>
          <w:szCs w:val="21"/>
        </w:rPr>
        <w:t xml:space="preserve">In the reconciliation block at the bottom of the Bank Salary sheet, most business units check as (bank total − payroll total), but the last three units in the list are written the other way round, (payroll total − bank total). The sign flips, but nothing flags that the two groups aren't computed the same way — exactly the kind of inconsistency that's invisible until someone is troubleshooting a mismatch under time pressure.</w:t>
      </w:r>
    </w:p>
    <w:p>
      <w:pPr>
        <w:pStyle w:val="Heading2"/>
        <w:spacing w:after="120" w:before="280"/>
      </w:pPr>
      <w:r>
        <w:rPr>
          <w:b/>
          <w:bCs/>
          <w:color w:val="C55A11"/>
          <w:sz w:val="24"/>
          <w:szCs w:val="24"/>
        </w:rPr>
        <w:t xml:space="preserve">5.8 No payslips, approvals, or history</w:t>
      </w:r>
    </w:p>
    <w:p>
      <w:pPr>
        <w:spacing w:after="160" w:line="276"/>
      </w:pPr>
      <w:r>
        <w:rPr>
          <w:sz w:val="21"/>
          <w:szCs w:val="21"/>
        </w:rPr>
        <w:t xml:space="preserve">The workbook produces a consolidated management view and a bank file, but there's no visible mechanism for generating an individual payslip, no approval/sign-off field before a bank file is produced, and each month's file is presumably a fresh copy — so there's no built-in year-to-date view, trend reporting, or statutory filing export.</w:t>
      </w:r>
    </w:p>
    <w:p>
      <w:r>
        <w:br w:type="page"/>
      </w:r>
    </w:p>
    <w:p>
      <w:pPr>
        <w:pStyle w:val="Heading1"/>
        <w:pBdr>
          <w:bottom w:val="single" w:color="1F3864" w:sz="6" w:space="4"/>
        </w:pBdr>
        <w:spacing w:after="160" w:before="360"/>
      </w:pPr>
      <w:r>
        <w:rPr>
          <w:b/>
          <w:bCs/>
          <w:color w:val="1F3864"/>
          <w:sz w:val="30"/>
          <w:szCs w:val="30"/>
        </w:rPr>
        <w:t xml:space="preserve">6. Recommendations: What the New System Should Do</w:t>
      </w:r>
    </w:p>
    <w:p>
      <w:pPr>
        <w:spacing w:after="160" w:line="276"/>
      </w:pPr>
      <w:r>
        <w:rPr>
          <w:sz w:val="21"/>
          <w:szCs w:val="21"/>
        </w:rPr>
        <w:t xml:space="preserve">The recommendations below are organised so the new system keeps everything in Section 4, closes every gap in Section 5, and does it without asking users to learn a fundamentally different mental model than the one the Exp/Salary/Bank sheets already use — business-unit grouping, a net-pay build-up from gross to deductions, and a linked bank file are all familiar and worth preserving.</w:t>
      </w:r>
    </w:p>
    <w:p>
      <w:pPr>
        <w:pStyle w:val="Heading2"/>
        <w:spacing w:after="120" w:before="280"/>
      </w:pPr>
      <w:r>
        <w:rPr>
          <w:b/>
          <w:bCs/>
          <w:color w:val="C55A11"/>
          <w:sz w:val="24"/>
          <w:szCs w:val="24"/>
        </w:rPr>
        <w:t xml:space="preserve">6.1 One employee master record (single source of truth)</w:t>
      </w:r>
    </w:p>
    <w:p>
      <w:pPr>
        <w:spacing w:after="160" w:line="276"/>
      </w:pPr>
      <w:r>
        <w:rPr>
          <w:sz w:val="21"/>
          <w:szCs w:val="21"/>
        </w:rPr>
        <w:t xml:space="preserve">Every employee should exist exactly once, with every other screen and report reading from that record rather than re-entering data:</w:t>
      </w:r>
    </w:p>
    <w:p>
      <w:pPr>
        <w:pStyle w:val="ListParagraph"/>
        <w:numPr>
          <w:ilvl w:val="0"/>
          <w:numId w:val="2"/>
        </w:numPr>
        <w:spacing w:after="90" w:line="270"/>
      </w:pPr>
      <w:r>
        <w:rPr>
          <w:sz w:val="21"/>
          <w:szCs w:val="21"/>
        </w:rPr>
        <w:t xml:space="preserve">Full legal name, Staff ID, National ID</w:t>
      </w:r>
    </w:p>
    <w:p>
      <w:pPr>
        <w:pStyle w:val="ListParagraph"/>
        <w:numPr>
          <w:ilvl w:val="0"/>
          <w:numId w:val="2"/>
        </w:numPr>
        <w:spacing w:after="90" w:line="270"/>
      </w:pPr>
      <w:r>
        <w:rPr>
          <w:sz w:val="21"/>
          <w:szCs w:val="21"/>
        </w:rPr>
        <w:t xml:space="preserve">Position / job title, Department, Business unit / entity (NBS, Sanyuka, Next Radio, etc.)</w:t>
      </w:r>
    </w:p>
    <w:p>
      <w:pPr>
        <w:pStyle w:val="ListParagraph"/>
        <w:numPr>
          <w:ilvl w:val="0"/>
          <w:numId w:val="2"/>
        </w:numPr>
        <w:spacing w:after="90" w:line="270"/>
      </w:pPr>
      <w:r>
        <w:rPr>
          <w:sz w:val="21"/>
          <w:szCs w:val="21"/>
        </w:rPr>
        <w:t xml:space="preserve">Engagement type — payroll staff, independent contractor, or wage staff — as a proper field rather than a separate stacked block of rows</w:t>
      </w:r>
    </w:p>
    <w:p>
      <w:pPr>
        <w:pStyle w:val="ListParagraph"/>
        <w:numPr>
          <w:ilvl w:val="0"/>
          <w:numId w:val="2"/>
        </w:numPr>
        <w:spacing w:after="90" w:line="270"/>
      </w:pPr>
      <w:r>
        <w:rPr>
          <w:sz w:val="21"/>
          <w:szCs w:val="21"/>
        </w:rPr>
        <w:t xml:space="preserve">Bank name, account number (validated), and/or mobile money details</w:t>
      </w:r>
    </w:p>
    <w:p>
      <w:pPr>
        <w:pStyle w:val="ListParagraph"/>
        <w:numPr>
          <w:ilvl w:val="0"/>
          <w:numId w:val="2"/>
        </w:numPr>
        <w:spacing w:after="90" w:line="270"/>
      </w:pPr>
      <w:r>
        <w:rPr>
          <w:sz w:val="21"/>
          <w:szCs w:val="21"/>
        </w:rPr>
        <w:t xml:space="preserve">Start date, end date/leaver date, and status (active/inactive), so a leaver is deactivated rather than deleted, and history is preserved</w:t>
      </w:r>
    </w:p>
    <w:p>
      <w:pPr>
        <w:pStyle w:val="Heading2"/>
        <w:spacing w:after="120" w:before="280"/>
      </w:pPr>
      <w:r>
        <w:rPr>
          <w:b/>
          <w:bCs/>
          <w:color w:val="C55A11"/>
          <w:sz w:val="24"/>
          <w:szCs w:val="24"/>
        </w:rPr>
        <w:t xml:space="preserve">6.2 Multi-entity structure without hard-coded rows</w:t>
      </w:r>
    </w:p>
    <w:p>
      <w:pPr>
        <w:spacing w:after="160" w:line="276"/>
      </w:pPr>
      <w:r>
        <w:rPr>
          <w:sz w:val="21"/>
          <w:szCs w:val="21"/>
        </w:rPr>
        <w:t xml:space="preserve">Business unit should be a field on the employee record, not a physical block of rows in a worksheet. Subtotals per entity and the group grand total should be computed by filtering/grouping on that field, so adding or removing an employee anywhere never breaks a total elsewhere — the single biggest structural fix over the current design.</w:t>
      </w:r>
    </w:p>
    <w:p>
      <w:pPr>
        <w:pStyle w:val="Heading2"/>
        <w:spacing w:after="120" w:before="280"/>
      </w:pPr>
      <w:r>
        <w:rPr>
          <w:b/>
          <w:bCs/>
          <w:color w:val="C55A11"/>
          <w:sz w:val="24"/>
          <w:szCs w:val="24"/>
        </w:rPr>
        <w:t xml:space="preserve">6.3 Two linked pay-run types</w:t>
      </w:r>
    </w:p>
    <w:p>
      <w:pPr>
        <w:spacing w:after="160" w:line="276"/>
      </w:pPr>
      <w:r>
        <w:rPr>
          <w:sz w:val="21"/>
          <w:szCs w:val="21"/>
        </w:rPr>
        <w:t xml:space="preserve">Keep the existing rhythm — a mid-month Expense Allowance run and a month-end Salary run — as two distinct run types against the same employee master, each with its own deduction set, so Finance keeps the workflow it already knows.</w:t>
      </w:r>
    </w:p>
    <w:p>
      <w:pPr>
        <w:pStyle w:val="Heading2"/>
        <w:spacing w:after="120" w:before="280"/>
      </w:pPr>
      <w:r>
        <w:rPr>
          <w:b/>
          <w:bCs/>
          <w:color w:val="C55A11"/>
          <w:sz w:val="24"/>
          <w:szCs w:val="24"/>
        </w:rPr>
        <w:t xml:space="preserve">6.4 Automated statutory calculation engine</w:t>
      </w:r>
    </w:p>
    <w:p>
      <w:pPr>
        <w:spacing w:after="160" w:line="276"/>
      </w:pPr>
      <w:r>
        <w:rPr>
          <w:sz w:val="21"/>
          <w:szCs w:val="21"/>
        </w:rPr>
        <w:t xml:space="preserve">PAYE and NSSF (5% employee / 10% employer) should be calculated automatically from gross pay against a configurable, versioned tax table, so a rate change is one update in one place rather than a manual recompute across hundreds of rows. The system should show its working (which band, which rate) so Finance can verify a figure at a glance instead of trusting a pasted-in number.</w:t>
      </w:r>
    </w:p>
    <w:p>
      <w:pPr>
        <w:pStyle w:val="Heading2"/>
        <w:spacing w:after="120" w:before="280"/>
      </w:pPr>
      <w:r>
        <w:rPr>
          <w:b/>
          <w:bCs/>
          <w:color w:val="C55A11"/>
          <w:sz w:val="24"/>
          <w:szCs w:val="24"/>
        </w:rPr>
        <w:t xml:space="preserve">6.5 Configurable earnings &amp; deduction codes</w:t>
      </w:r>
    </w:p>
    <w:p>
      <w:pPr>
        <w:spacing w:after="160" w:line="276"/>
      </w:pPr>
      <w:r>
        <w:rPr>
          <w:sz w:val="21"/>
          <w:szCs w:val="21"/>
        </w:rPr>
        <w:t xml:space="preserve">Replicate the existing deduction set as standard, reusable codes rather than fixed columns:</w:t>
      </w:r>
    </w:p>
    <w:p>
      <w:pPr>
        <w:pStyle w:val="ListParagraph"/>
        <w:numPr>
          <w:ilvl w:val="0"/>
          <w:numId w:val="2"/>
        </w:numPr>
        <w:spacing w:after="90" w:line="270"/>
      </w:pPr>
      <w:r>
        <w:rPr>
          <w:sz w:val="21"/>
          <w:szCs w:val="21"/>
        </w:rPr>
        <w:t xml:space="preserve">SACCO, Food, Medicare, Hire Purchase, Cost Share, ID Replacement, Fuel/Advance, Penalty</w:t>
      </w:r>
    </w:p>
    <w:p>
      <w:pPr>
        <w:pStyle w:val="ListParagraph"/>
        <w:numPr>
          <w:ilvl w:val="0"/>
          <w:numId w:val="2"/>
        </w:numPr>
        <w:spacing w:after="90" w:line="270"/>
      </w:pPr>
      <w:r>
        <w:rPr>
          <w:sz w:val="21"/>
          <w:szCs w:val="21"/>
        </w:rPr>
        <w:t xml:space="preserve">Each attachable per employee as recurring or one-off, with an optional running balance (e.g. a hire-purchase loan that decreases automatically each month and stops itself when paid off)</w:t>
      </w:r>
    </w:p>
    <w:p>
      <w:pPr>
        <w:pStyle w:val="ListParagraph"/>
        <w:numPr>
          <w:ilvl w:val="0"/>
          <w:numId w:val="2"/>
        </w:numPr>
        <w:spacing w:after="90" w:line="270"/>
      </w:pPr>
      <w:r>
        <w:rPr>
          <w:sz w:val="21"/>
          <w:szCs w:val="21"/>
        </w:rPr>
        <w:t xml:space="preserve">New codes addable without a developer touching a formula</w:t>
      </w:r>
    </w:p>
    <w:p>
      <w:pPr>
        <w:pStyle w:val="Heading2"/>
        <w:spacing w:after="120" w:before="280"/>
      </w:pPr>
      <w:r>
        <w:rPr>
          <w:b/>
          <w:bCs/>
          <w:color w:val="C55A11"/>
          <w:sz w:val="24"/>
          <w:szCs w:val="24"/>
        </w:rPr>
        <w:t xml:space="preserve">6.6 Built-in, always-on validation</w:t>
      </w:r>
    </w:p>
    <w:p>
      <w:pPr>
        <w:spacing w:after="160" w:line="276"/>
      </w:pPr>
      <w:r>
        <w:rPr>
          <w:sz w:val="21"/>
          <w:szCs w:val="21"/>
        </w:rPr>
        <w:t xml:space="preserve">Keep the current instinct — gross minus deductions should equal net, and unit totals should sum to the grand total — but make it live and automatic rather than a column to remember to check, with any variance flagged on screen before a run can be approved.</w:t>
      </w:r>
    </w:p>
    <w:p>
      <w:pPr>
        <w:pStyle w:val="Heading2"/>
        <w:spacing w:after="120" w:before="280"/>
      </w:pPr>
      <w:r>
        <w:rPr>
          <w:b/>
          <w:bCs/>
          <w:color w:val="C55A11"/>
          <w:sz w:val="24"/>
          <w:szCs w:val="24"/>
        </w:rPr>
        <w:t xml:space="preserve">6.7 One-click bank file generation</w:t>
      </w:r>
    </w:p>
    <w:p>
      <w:pPr>
        <w:spacing w:after="160" w:line="276"/>
      </w:pPr>
      <w:r>
        <w:rPr>
          <w:sz w:val="21"/>
          <w:szCs w:val="21"/>
        </w:rPr>
        <w:t xml:space="preserve">Generate the bank-ready payment file (CSV or the bank's EFT format) directly from an approved run, per entity or per bank, replacing the manual cell-by-cell cross-referencing on the current Bank sheets. Extend the existing account-number-length check to every record, and add a basic format check (numeric, correct length for the bank) at data entry, not just at export.</w:t>
      </w:r>
    </w:p>
    <w:p>
      <w:pPr>
        <w:pStyle w:val="Heading2"/>
        <w:spacing w:after="120" w:before="280"/>
      </w:pPr>
      <w:r>
        <w:rPr>
          <w:b/>
          <w:bCs/>
          <w:color w:val="C55A11"/>
          <w:sz w:val="24"/>
          <w:szCs w:val="24"/>
        </w:rPr>
        <w:t xml:space="preserve">6.8 Access control and an audit trail</w:t>
      </w:r>
    </w:p>
    <w:p>
      <w:pPr>
        <w:spacing w:after="160" w:line="276"/>
      </w:pPr>
      <w:r>
        <w:rPr>
          <w:sz w:val="21"/>
          <w:szCs w:val="21"/>
        </w:rPr>
        <w:t xml:space="preserve">Role-based access — HR data entry, Finance review, and a separate Approver role — with calculation fields locked from manual overwrite, and a change log recording who changed what, when, and the value it changed from/to.</w:t>
      </w:r>
    </w:p>
    <w:p>
      <w:pPr>
        <w:pStyle w:val="Heading2"/>
        <w:spacing w:after="120" w:before="280"/>
      </w:pPr>
      <w:r>
        <w:rPr>
          <w:b/>
          <w:bCs/>
          <w:color w:val="C55A11"/>
          <w:sz w:val="24"/>
          <w:szCs w:val="24"/>
        </w:rPr>
        <w:t xml:space="preserve">6.9 Approval workflow</w:t>
      </w:r>
    </w:p>
    <w:p>
      <w:pPr>
        <w:spacing w:after="160" w:line="276"/>
      </w:pPr>
      <w:r>
        <w:rPr>
          <w:sz w:val="21"/>
          <w:szCs w:val="21"/>
        </w:rPr>
        <w:t xml:space="preserve">A simple draft → reviewed → approved → disbursed pipeline for each run, so a bank file can only be generated after sign-off, with the approver's identity and timestamp captured automatically instead of relying on an offline email or paper trail.</w:t>
      </w:r>
    </w:p>
    <w:p>
      <w:pPr>
        <w:pStyle w:val="Heading2"/>
        <w:spacing w:after="120" w:before="280"/>
      </w:pPr>
      <w:r>
        <w:rPr>
          <w:b/>
          <w:bCs/>
          <w:color w:val="C55A11"/>
          <w:sz w:val="24"/>
          <w:szCs w:val="24"/>
        </w:rPr>
        <w:t xml:space="preserve">6.10 Payslips and reporting</w:t>
      </w:r>
    </w:p>
    <w:p>
      <w:pPr>
        <w:spacing w:after="160" w:line="276"/>
      </w:pPr>
      <w:r>
        <w:rPr>
          <w:sz w:val="21"/>
          <w:szCs w:val="21"/>
        </w:rPr>
        <w:t xml:space="preserve">Individual, downloadable or emailable payslips per employee per run; year-to-date and month-over-month views; headcount and staff-cost reporting by business unit; and exports formatted for statutory filing (PAYE and NSSF returns) rather than being reconstructed from the payroll sheet each time.</w:t>
      </w:r>
    </w:p>
    <w:p>
      <w:pPr>
        <w:pStyle w:val="Heading2"/>
        <w:spacing w:after="120" w:before="280"/>
      </w:pPr>
      <w:r>
        <w:rPr>
          <w:b/>
          <w:bCs/>
          <w:color w:val="C55A11"/>
          <w:sz w:val="24"/>
          <w:szCs w:val="24"/>
        </w:rPr>
        <w:t xml:space="preserve">6.11 Data-quality safeguards</w:t>
      </w:r>
    </w:p>
    <w:p>
      <w:pPr>
        <w:spacing w:after="160" w:line="276"/>
      </w:pPr>
      <w:r>
        <w:rPr>
          <w:sz w:val="21"/>
          <w:szCs w:val="21"/>
        </w:rPr>
        <w:t xml:space="preserve">Make Staff ID and Position mandatory fields at the point of entry so the completeness gaps seen in the current sheets can't recur, and because every field lives on one master record, the name-spelling drift between sheets stops being possible by construction.</w:t>
      </w:r>
    </w:p>
    <w:p>
      <w:r>
        <w:br w:type="page"/>
      </w:r>
    </w:p>
    <w:p>
      <w:pPr>
        <w:pStyle w:val="Heading1"/>
        <w:pBdr>
          <w:bottom w:val="single" w:color="1F3864" w:sz="6" w:space="4"/>
        </w:pBdr>
        <w:spacing w:after="160" w:before="360"/>
      </w:pPr>
      <w:r>
        <w:rPr>
          <w:b/>
          <w:bCs/>
          <w:color w:val="1F3864"/>
          <w:sz w:val="30"/>
          <w:szCs w:val="30"/>
        </w:rPr>
        <w:t xml:space="preserve">7. Suggested Phased Rollout</w:t>
      </w:r>
    </w:p>
    <w:p>
      <w:pPr>
        <w:spacing w:after="160" w:line="276"/>
      </w:pPr>
      <w:r>
        <w:rPr>
          <w:sz w:val="21"/>
          <w:szCs w:val="21"/>
        </w:rPr>
        <w:t xml:space="preserve">A phased build lets Finance keep running payroll in the current workbook until each new capability is proven, rather than a risky big-bang cutover: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4032"/>
        <w:gridCol w:w="5040"/>
      </w:tblGrid>
      <w:tr>
        <w:trPr>
          <w:tblHeader/>
        </w:trPr>
        <w:tc>
          <w:tcPr>
            <w:tcW w:type="dxa" w:w="1008"/>
            <w:shd w:fill="1F3864" w:val="clear"/>
            <w:tcMar>
              <w:top w:type="dxa" w:w="80"/>
              <w:left w:type="dxa" w:w="100"/>
              <w:bottom w:type="dxa" w:w="80"/>
              <w:right w:type="dxa" w:w="100"/>
            </w:tcMar>
            <w:vAlign w:val="center"/>
          </w:tcPr>
          <w:p>
            <w:pPr>
              <w:jc w:val="left"/>
            </w:pPr>
            <w:r>
              <w:rPr>
                <w:b/>
                <w:bCs/>
                <w:color w:val="FFFFFF"/>
                <w:sz w:val="19"/>
                <w:szCs w:val="19"/>
              </w:rPr>
              <w:t xml:space="preserve">Phase</w:t>
            </w:r>
          </w:p>
        </w:tc>
        <w:tc>
          <w:tcPr>
            <w:tcW w:type="dxa" w:w="4032"/>
            <w:shd w:fill="1F3864" w:val="clear"/>
            <w:tcMar>
              <w:top w:type="dxa" w:w="80"/>
              <w:left w:type="dxa" w:w="100"/>
              <w:bottom w:type="dxa" w:w="80"/>
              <w:right w:type="dxa" w:w="100"/>
            </w:tcMar>
            <w:vAlign w:val="center"/>
          </w:tcPr>
          <w:p>
            <w:pPr>
              <w:jc w:val="left"/>
            </w:pPr>
            <w:r>
              <w:rPr>
                <w:b/>
                <w:bCs/>
                <w:color w:val="FFFFFF"/>
                <w:sz w:val="19"/>
                <w:szCs w:val="19"/>
              </w:rPr>
              <w:t xml:space="preserve">Focus</w:t>
            </w:r>
          </w:p>
        </w:tc>
        <w:tc>
          <w:tcPr>
            <w:tcW w:type="dxa" w:w="5040"/>
            <w:shd w:fill="1F3864" w:val="clear"/>
            <w:tcMar>
              <w:top w:type="dxa" w:w="80"/>
              <w:left w:type="dxa" w:w="100"/>
              <w:bottom w:type="dxa" w:w="80"/>
              <w:right w:type="dxa" w:w="100"/>
            </w:tcMar>
            <w:vAlign w:val="center"/>
          </w:tcPr>
          <w:p>
            <w:pPr>
              <w:jc w:val="left"/>
            </w:pPr>
            <w:r>
              <w:rPr>
                <w:b/>
                <w:bCs/>
                <w:color w:val="FFFFFF"/>
                <w:sz w:val="19"/>
                <w:szCs w:val="19"/>
              </w:rPr>
              <w:t xml:space="preserve">Outcome</w:t>
            </w:r>
          </w:p>
        </w:tc>
      </w:tr>
      <w:tr>
        <w:tc>
          <w:tcPr>
            <w:tcW w:type="dxa" w:w="1008"/>
            <w:tcMar>
              <w:top w:type="dxa" w:w="80"/>
              <w:left w:type="dxa" w:w="100"/>
              <w:bottom w:type="dxa" w:w="80"/>
              <w:right w:type="dxa" w:w="100"/>
            </w:tcMar>
            <w:vAlign w:val="center"/>
          </w:tcPr>
          <w:p>
            <w:pPr>
              <w:jc w:val="left"/>
            </w:pPr>
            <w:r>
              <w:rPr>
                <w:b w:val="false"/>
                <w:bCs w:val="false"/>
                <w:color w:val="000000"/>
                <w:sz w:val="19"/>
                <w:szCs w:val="19"/>
              </w:rPr>
              <w:t xml:space="preserve">1</w:t>
            </w:r>
          </w:p>
        </w:tc>
        <w:tc>
          <w:tcPr>
            <w:tcW w:type="dxa" w:w="4032"/>
            <w:tcMar>
              <w:top w:type="dxa" w:w="80"/>
              <w:left w:type="dxa" w:w="100"/>
              <w:bottom w:type="dxa" w:w="80"/>
              <w:right w:type="dxa" w:w="100"/>
            </w:tcMar>
            <w:vAlign w:val="center"/>
          </w:tcPr>
          <w:p>
            <w:pPr>
              <w:jc w:val="left"/>
            </w:pPr>
            <w:r>
              <w:rPr>
                <w:b w:val="false"/>
                <w:bCs w:val="false"/>
                <w:color w:val="000000"/>
                <w:sz w:val="19"/>
                <w:szCs w:val="19"/>
              </w:rPr>
              <w:t xml:space="preserve">Employee master data + digitise current structure</w:t>
            </w:r>
          </w:p>
        </w:tc>
        <w:tc>
          <w:tcPr>
            <w:tcW w:type="dxa" w:w="5040"/>
            <w:tcMar>
              <w:top w:type="dxa" w:w="80"/>
              <w:left w:type="dxa" w:w="100"/>
              <w:bottom w:type="dxa" w:w="80"/>
              <w:right w:type="dxa" w:w="100"/>
            </w:tcMar>
            <w:vAlign w:val="center"/>
          </w:tcPr>
          <w:p>
            <w:pPr>
              <w:jc w:val="left"/>
            </w:pPr>
            <w:r>
              <w:rPr>
                <w:b w:val="false"/>
                <w:bCs w:val="false"/>
                <w:color w:val="000000"/>
                <w:sz w:val="19"/>
                <w:szCs w:val="19"/>
              </w:rPr>
              <w:t xml:space="preserve">One record per employee, replicated Exp/Salary calculations and business-unit grouping, no more hard-coded row totals</w:t>
            </w:r>
          </w:p>
        </w:tc>
      </w:tr>
      <w:tr>
        <w:tc>
          <w:tcPr>
            <w:tcW w:type="dxa" w:w="100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2</w:t>
            </w:r>
          </w:p>
        </w:tc>
        <w:tc>
          <w:tcPr>
            <w:tcW w:type="dxa" w:w="4032"/>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Automated PAYE/NSSF engine + live validation</w:t>
            </w:r>
          </w:p>
        </w:tc>
        <w:tc>
          <w:tcPr>
            <w:tcW w:type="dxa" w:w="504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Statutory deductions computed automatically; variances flagged before a run is finalised</w:t>
            </w:r>
          </w:p>
        </w:tc>
      </w:tr>
      <w:tr>
        <w:tc>
          <w:tcPr>
            <w:tcW w:type="dxa" w:w="1008"/>
            <w:tcMar>
              <w:top w:type="dxa" w:w="80"/>
              <w:left w:type="dxa" w:w="100"/>
              <w:bottom w:type="dxa" w:w="80"/>
              <w:right w:type="dxa" w:w="100"/>
            </w:tcMar>
            <w:vAlign w:val="center"/>
          </w:tcPr>
          <w:p>
            <w:pPr>
              <w:jc w:val="left"/>
            </w:pPr>
            <w:r>
              <w:rPr>
                <w:b w:val="false"/>
                <w:bCs w:val="false"/>
                <w:color w:val="000000"/>
                <w:sz w:val="19"/>
                <w:szCs w:val="19"/>
              </w:rPr>
              <w:t xml:space="preserve">3</w:t>
            </w:r>
          </w:p>
        </w:tc>
        <w:tc>
          <w:tcPr>
            <w:tcW w:type="dxa" w:w="4032"/>
            <w:tcMar>
              <w:top w:type="dxa" w:w="80"/>
              <w:left w:type="dxa" w:w="100"/>
              <w:bottom w:type="dxa" w:w="80"/>
              <w:right w:type="dxa" w:w="100"/>
            </w:tcMar>
            <w:vAlign w:val="center"/>
          </w:tcPr>
          <w:p>
            <w:pPr>
              <w:jc w:val="left"/>
            </w:pPr>
            <w:r>
              <w:rPr>
                <w:b w:val="false"/>
                <w:bCs w:val="false"/>
                <w:color w:val="000000"/>
                <w:sz w:val="19"/>
                <w:szCs w:val="19"/>
              </w:rPr>
              <w:t xml:space="preserve">Approval workflow, access control, payslips</w:t>
            </w:r>
          </w:p>
        </w:tc>
        <w:tc>
          <w:tcPr>
            <w:tcW w:type="dxa" w:w="5040"/>
            <w:tcMar>
              <w:top w:type="dxa" w:w="80"/>
              <w:left w:type="dxa" w:w="100"/>
              <w:bottom w:type="dxa" w:w="80"/>
              <w:right w:type="dxa" w:w="100"/>
            </w:tcMar>
            <w:vAlign w:val="center"/>
          </w:tcPr>
          <w:p>
            <w:pPr>
              <w:jc w:val="left"/>
            </w:pPr>
            <w:r>
              <w:rPr>
                <w:b w:val="false"/>
                <w:bCs w:val="false"/>
                <w:color w:val="000000"/>
                <w:sz w:val="19"/>
                <w:szCs w:val="19"/>
              </w:rPr>
              <w:t xml:space="preserve">Draft → review → approve → disburse pipeline; role-based permissions; individual payslips</w:t>
            </w:r>
          </w:p>
        </w:tc>
      </w:tr>
      <w:tr>
        <w:tc>
          <w:tcPr>
            <w:tcW w:type="dxa" w:w="100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4</w:t>
            </w:r>
          </w:p>
        </w:tc>
        <w:tc>
          <w:tcPr>
            <w:tcW w:type="dxa" w:w="4032"/>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Reporting, history, statutory e-filing exports</w:t>
            </w:r>
          </w:p>
        </w:tc>
        <w:tc>
          <w:tcPr>
            <w:tcW w:type="dxa" w:w="504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Year-to-date views, cost dashboards by entity, ready-to-file PAYE/NSSF returns</w:t>
            </w:r>
          </w:p>
        </w:tc>
      </w:tr>
    </w:tbl>
    <w:p>
      <w:pPr>
        <w:pStyle w:val="Heading1"/>
        <w:pBdr>
          <w:bottom w:val="single" w:color="1F3864" w:sz="6" w:space="4"/>
        </w:pBdr>
        <w:spacing w:after="160" w:before="360"/>
      </w:pPr>
      <w:r>
        <w:rPr>
          <w:b/>
          <w:bCs/>
          <w:color w:val="1F3864"/>
          <w:sz w:val="30"/>
          <w:szCs w:val="30"/>
        </w:rPr>
        <w:t xml:space="preserve">8. Closing Summary</w:t>
      </w:r>
    </w:p>
    <w:p>
      <w:pPr>
        <w:spacing w:after="160" w:line="276"/>
      </w:pPr>
      <w:r>
        <w:rPr>
          <w:sz w:val="21"/>
          <w:szCs w:val="21"/>
        </w:rPr>
        <w:t xml:space="preserve">The current workbook reflects a lot of accumulated, sensible practice — it's not being replaced because it's poorly designed for what it is, but because a ~400-person, dozen-entity payroll has outgrown what a hand-maintained spreadsheet can safely carry. The clearest, highest-value fix is collapsing four independently-maintained sheets into one employee master record with automated statutory calculation behind it; everything else in this document — validation, approvals, payslips, reporting — builds on top of that foundation.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2026-08-31T20:23:31.809Z</dcterms:created>
  <dcterms:modified xsi:type="dcterms:W3CDTF">2026-08-31T20:23:31.834Z</dcterms:modified>
</cp:coreProperties>
</file>

<file path=docProps/custom.xml><?xml version="1.0" encoding="utf-8"?>
<Properties xmlns="http://schemas.openxmlformats.org/officeDocument/2006/custom-properties" xmlns:vt="http://schemas.openxmlformats.org/officeDocument/2006/docPropsVTypes"/>
</file>