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Kirish</w:t>
      </w:r>
    </w:p>
    <w:p>
      <w:pPr>
        <w:pStyle w:val="BodyText"/>
        <w:bidi w:val="0"/>
        <w:jc w:val="left"/>
        <w:rPr/>
      </w:pPr>
      <w:r>
        <w:rPr/>
        <w:t>Ushbu qo‘llanma TALABA AI tizimini sinash uchun loyiha jamoasi tomonidan yozilgan original o‘quv matni. Unda iqtisodiyot nazariyasining asosiy tushunchalari sodda tilda bayon qilinadi. Matndagi jadval va raqamlar o‘quv misoli bo‘lib, haqiqiy statistika emas.</w:t>
      </w:r>
    </w:p>
    <w:p>
      <w:pPr>
        <w:pStyle w:val="BodyText"/>
        <w:bidi w:val="0"/>
        <w:jc w:val="left"/>
        <w:rPr/>
      </w:pPr>
      <w:r>
        <w:rPr/>
        <w:t>Iqtisodiyot nazariyasi cheklangan resurslardan cheksiz ehtiyojlarni qondirish uchun qanday foydalanilishini o‘rganadi. Resurslarning cheklanganligi tanlov qilish zaruratini keltirib chiqaradi.</w:t>
      </w:r>
    </w:p>
    <w:p>
      <w:pPr>
        <w:pStyle w:val="Heading1"/>
        <w:bidi w:val="0"/>
        <w:jc w:val="left"/>
        <w:rPr/>
      </w:pPr>
      <w:r>
        <w:rPr/>
        <w:t>1-bob. Talab va taklif</w:t>
      </w:r>
    </w:p>
    <w:p>
      <w:pPr>
        <w:pStyle w:val="Heading2"/>
        <w:bidi w:val="0"/>
        <w:jc w:val="left"/>
        <w:rPr/>
      </w:pPr>
      <w:r>
        <w:rPr/>
        <w:t>1.1. Talab tushunchasi</w:t>
      </w:r>
    </w:p>
    <w:p>
      <w:pPr>
        <w:pStyle w:val="BodyText"/>
        <w:bidi w:val="0"/>
        <w:jc w:val="left"/>
        <w:rPr/>
      </w:pPr>
      <w:r>
        <w:rPr/>
        <w:t>Talab — bu iste’molchilarning ma’lum narxda va ma’lum vaqt oralig‘ida sotib olishga tayyor va qodir bo‘lgan tovar miqdoridir. Talab faqat xohish emas, balki to‘lov qobiliyati bilan ta’minlangan ehtiyojdir.</w:t>
      </w:r>
    </w:p>
    <w:p>
      <w:pPr>
        <w:pStyle w:val="BodyText"/>
        <w:bidi w:val="0"/>
        <w:jc w:val="left"/>
        <w:rPr/>
      </w:pPr>
      <w:r>
        <w:rPr/>
        <w:t>Talab qonuniga ko‘ra, boshqa omillar o‘zgarmagan holda tovar narxi oshsa, unga bo‘lgan talab miqdori kamayadi. Narx pasaysa, talab miqdori ortadi. Shuning uchun talab egri chizig‘i pastga qarab og‘ib boradi.</w:t>
      </w:r>
    </w:p>
    <w:p>
      <w:pPr>
        <w:pStyle w:val="BodyText"/>
        <w:bidi w:val="0"/>
        <w:jc w:val="left"/>
        <w:rPr/>
      </w:pPr>
      <w:r>
        <w:rPr/>
        <w:t>Talabga narxdan tashqari omillar ham ta’sir qiladi: iste’molchilarning daromadi, o‘rinbosar va to‘ldiruvchi tovarlarning narxi, did va afzalliklar hamda kelajakdagi narx haqidagi kutilmalar. Bu omillar o‘zgarganda butun talab egri chizig‘i siljiydi.</w:t>
      </w:r>
    </w:p>
    <w:p>
      <w:pPr>
        <w:pStyle w:val="Heading2"/>
        <w:bidi w:val="0"/>
        <w:jc w:val="left"/>
        <w:rPr/>
      </w:pPr>
      <w:r>
        <w:rPr/>
        <w:t>1.2. Taklif tushunchasi</w:t>
      </w:r>
    </w:p>
    <w:p>
      <w:pPr>
        <w:pStyle w:val="BodyText"/>
        <w:bidi w:val="0"/>
        <w:jc w:val="left"/>
        <w:rPr/>
      </w:pPr>
      <w:r>
        <w:rPr/>
        <w:t>Taklif — bu ishlab chiqaruvchilarning ma’lum narxda va ma’lum vaqt oralig‘ida sotishga tayyor bo‘lgan tovar miqdoridir.</w:t>
      </w:r>
    </w:p>
    <w:p>
      <w:pPr>
        <w:pStyle w:val="BodyText"/>
        <w:bidi w:val="0"/>
        <w:jc w:val="left"/>
        <w:rPr/>
      </w:pPr>
      <w:r>
        <w:rPr/>
        <w:t>Taklif qonuniga ko‘ra, boshqa omillar o‘zgarmagan holda tovar narxi oshsa, taklif miqdori ham ortadi. Yuqori narx ishlab chiqaruvchini ko‘proq mahsulot chiqarishga undaydi.</w:t>
      </w:r>
    </w:p>
    <w:p>
      <w:pPr>
        <w:pStyle w:val="BodyText"/>
        <w:bidi w:val="0"/>
        <w:jc w:val="left"/>
        <w:rPr/>
      </w:pPr>
      <w:r>
        <w:rPr/>
        <w:t>Taklifga ishlab chiqarish xarajatlari, texnologiya darajasi, soliqlar va subsidiyalar hamda bozordagi sotuvchilar soni ta’sir ko‘rsatadi. Masalan, yangi texnologiya xarajatlarni kamaytirsa, taklif egri chizig‘i o‘ngga siljiydi.</w:t>
      </w:r>
    </w:p>
    <w:p>
      <w:pPr>
        <w:pStyle w:val="Heading2"/>
        <w:bidi w:val="0"/>
        <w:jc w:val="left"/>
        <w:rPr/>
      </w:pPr>
      <w:r>
        <w:rPr/>
        <w:t>1.3. Bozor muvozanati</w:t>
      </w:r>
    </w:p>
    <w:p>
      <w:pPr>
        <w:pStyle w:val="BodyText"/>
        <w:bidi w:val="0"/>
        <w:jc w:val="left"/>
        <w:rPr/>
      </w:pPr>
      <w:r>
        <w:rPr/>
        <w:t>Bozor muvozanati — bu talab miqdori taklif miqdoriga teng bo‘lgan holat. Shu nuqtadagi narx muvozanat narxi deb ataladi.</w:t>
      </w:r>
    </w:p>
    <w:p>
      <w:pPr>
        <w:pStyle w:val="BodyText"/>
        <w:bidi w:val="0"/>
        <w:jc w:val="left"/>
        <w:rPr/>
      </w:pPr>
      <w:r>
        <w:rPr/>
        <w:t>Agar narx muvozanat narxidan yuqori bo‘lsa, bozorda ortiqcha taklif, ya’ni tovar ortiqchaligi yuzaga keladi. Agar narx muvozanat narxidan past bo‘lsa, taqchillik paydo bo‘ladi va narx yuqoriga qarab harakatlanadi.</w:t>
      </w:r>
    </w:p>
    <w:p>
      <w:pPr>
        <w:pStyle w:val="Heading1"/>
        <w:bidi w:val="0"/>
        <w:jc w:val="left"/>
        <w:rPr/>
      </w:pPr>
      <w:r>
        <w:rPr/>
        <w:t>2-bob. Inflyatsiya</w:t>
      </w:r>
    </w:p>
    <w:p>
      <w:pPr>
        <w:pStyle w:val="Heading2"/>
        <w:bidi w:val="0"/>
        <w:jc w:val="left"/>
        <w:rPr/>
      </w:pPr>
      <w:r>
        <w:rPr/>
        <w:t>2.1. Inflyatsiya tushunchasi</w:t>
      </w:r>
    </w:p>
    <w:p>
      <w:pPr>
        <w:pStyle w:val="BodyText"/>
        <w:bidi w:val="0"/>
        <w:jc w:val="left"/>
        <w:rPr/>
      </w:pPr>
      <w:r>
        <w:rPr/>
        <w:t>Inflyatsiya — bu iqtisodiyotda narxlar umumiy darajasining uzoq muddat davomida barqaror o‘sishidir. Inflyatsiya natijasida pulning xarid qobiliyati pasayadi.</w:t>
      </w:r>
    </w:p>
    <w:p>
      <w:pPr>
        <w:pStyle w:val="BodyText"/>
        <w:bidi w:val="0"/>
        <w:jc w:val="left"/>
        <w:rPr/>
      </w:pPr>
      <w:r>
        <w:rPr/>
        <w:t>Narxlar umumiy darajasining pasayishi deflyatsiya deb ataladi. Deflyatsiya ham iqtisodiyot uchun xavfli bo‘lishi mumkin, chunki iste’molchilar xaridni kechiktiradi.</w:t>
      </w:r>
    </w:p>
    <w:p>
      <w:pPr>
        <w:pStyle w:val="Heading2"/>
        <w:bidi w:val="0"/>
        <w:jc w:val="left"/>
        <w:rPr/>
      </w:pPr>
      <w:r>
        <w:rPr/>
        <w:t>2.2. Inflyatsiyaning turlari va sabablari</w:t>
      </w:r>
    </w:p>
    <w:p>
      <w:pPr>
        <w:pStyle w:val="BodyText"/>
        <w:bidi w:val="0"/>
        <w:jc w:val="left"/>
        <w:rPr/>
      </w:pPr>
      <w:r>
        <w:rPr/>
        <w:t>Talab inflyatsiyasi jami talab jami taklifdan tez o‘sganda yuzaga keladi. Xarajatlar inflyatsiyasi esa ishlab chiqarish xarajatlari, masalan, xomashyo yoki ish haqi oshganda paydo bo‘ladi.</w:t>
      </w:r>
    </w:p>
    <w:p>
      <w:pPr>
        <w:pStyle w:val="BodyText"/>
        <w:bidi w:val="0"/>
        <w:jc w:val="left"/>
        <w:rPr/>
      </w:pPr>
      <w:r>
        <w:rPr/>
        <w:t>Sur’atiga ko‘ra inflyatsiya mo‘tadil, o‘rmalovchi, shiddatli va giperinflyatsiyaga bo‘linadi. Giperinflyatsiyada narxlar juda qisqa vaqt ichida bir necha barobar oshadi.</w:t>
      </w:r>
    </w:p>
    <w:p>
      <w:pPr>
        <w:pStyle w:val="Heading2"/>
        <w:bidi w:val="0"/>
        <w:jc w:val="left"/>
        <w:rPr/>
      </w:pPr>
      <w:r>
        <w:rPr/>
        <w:t>2.3. Inflyatsiyani o‘lchash</w:t>
      </w:r>
    </w:p>
    <w:p>
      <w:pPr>
        <w:pStyle w:val="BodyText"/>
        <w:bidi w:val="0"/>
        <w:jc w:val="left"/>
        <w:rPr/>
      </w:pPr>
      <w:r>
        <w:rPr/>
        <w:t>Inflyatsiya darajasi odatda iste’mol narxlari indeksi orqali o‘lchanadi. Iste’mol narxlari indeksi iste’mol savatidagi tovar va xizmatlar narxining tanlangan bazaviy davrga nisbatan o‘zgarishini ko‘rsatadi.</w:t>
      </w:r>
    </w:p>
    <w:p>
      <w:pPr>
        <w:pStyle w:val="BodyText"/>
        <w:bidi w:val="0"/>
        <w:jc w:val="left"/>
        <w:rPr/>
      </w:pPr>
      <w:r>
        <w:rPr/>
        <w:t>Inflyatsiya sur’ati joriy davr indeksidan oldingi davr indeksini ayirib, natijani oldingi davr indeksiga bo‘lish va yuzga ko‘paytirish orqali hisoblanadi.</w:t>
      </w:r>
    </w:p>
    <w:p>
      <w:pPr>
        <w:pStyle w:val="Heading1"/>
        <w:bidi w:val="0"/>
        <w:jc w:val="left"/>
        <w:rPr/>
      </w:pPr>
      <w:r>
        <w:rPr/>
        <w:t>3-bob. Pul va bank tizimi</w:t>
      </w:r>
    </w:p>
    <w:p>
      <w:pPr>
        <w:pStyle w:val="Heading2"/>
        <w:bidi w:val="0"/>
        <w:jc w:val="left"/>
        <w:rPr/>
      </w:pPr>
      <w:r>
        <w:rPr/>
        <w:t>3.1. Pulning funksiyalari</w:t>
      </w:r>
    </w:p>
    <w:p>
      <w:pPr>
        <w:pStyle w:val="BodyText"/>
        <w:bidi w:val="0"/>
        <w:jc w:val="left"/>
        <w:rPr/>
      </w:pPr>
      <w:r>
        <w:rPr/>
        <w:t>Pul to‘rtta asosiy funksiyani bajaradi: ayirboshlash vositasi, qiymat o‘lchovi, jamg‘arish vositasi va to‘lov vositasi.</w:t>
      </w:r>
    </w:p>
    <w:p>
      <w:pPr>
        <w:pStyle w:val="BodyText"/>
        <w:bidi w:val="0"/>
        <w:jc w:val="left"/>
        <w:rPr/>
      </w:pPr>
      <w:r>
        <w:rPr/>
        <w:t>Ayirboshlash vositasi sifatida pul barter savdosidagi ehtiyojlarning ikki tomonlama mos kelishi muammosini hal qiladi.</w:t>
      </w:r>
    </w:p>
    <w:p>
      <w:pPr>
        <w:pStyle w:val="Heading2"/>
        <w:bidi w:val="0"/>
        <w:jc w:val="left"/>
        <w:rPr/>
      </w:pPr>
      <w:r>
        <w:rPr/>
        <w:t>3.2. Markaziy bank</w:t>
      </w:r>
    </w:p>
    <w:p>
      <w:pPr>
        <w:pStyle w:val="BodyText"/>
        <w:bidi w:val="0"/>
        <w:jc w:val="left"/>
        <w:rPr/>
      </w:pPr>
      <w:r>
        <w:rPr/>
        <w:t>Markaziy bank mamlakatning pul-kredit siyosatini amalga oshiradi va milliy valyuta barqarorligini ta’minlashga mas’ul bo‘ladi.</w:t>
      </w:r>
    </w:p>
    <w:p>
      <w:pPr>
        <w:pStyle w:val="BodyText"/>
        <w:bidi w:val="0"/>
        <w:jc w:val="left"/>
        <w:rPr/>
      </w:pPr>
      <w:r>
        <w:rPr/>
        <w:t>Markaziy bank asosiy stavkani o‘zgartirish orqali iqtisodiyotdagi kredit narxiga ta’sir qiladi. Asosiy stavka oshirilsa, kreditlar qimmatlashadi va inflyatsiya bosimi odatda pasayadi.</w:t>
      </w:r>
    </w:p>
    <w:p>
      <w:pPr>
        <w:pStyle w:val="Heading2"/>
        <w:bidi w:val="0"/>
        <w:jc w:val="left"/>
        <w:rPr/>
      </w:pPr>
      <w:r>
        <w:rPr/>
        <w:t>3.3. Tijorat banklari</w:t>
      </w:r>
    </w:p>
    <w:p>
      <w:pPr>
        <w:pStyle w:val="BodyText"/>
        <w:bidi w:val="0"/>
        <w:jc w:val="left"/>
        <w:rPr/>
      </w:pPr>
      <w:r>
        <w:rPr/>
        <w:t>Tijorat banklari aholi va korxonalardan depozitlar qabul qiladi hamda ularni kredit sifatida beradi. Banklarning daromadi asosan kredit va depozit foiz stavkalari o‘rtasidagi farqdan shakllanadi.</w:t>
      </w:r>
    </w:p>
    <w:p>
      <w:pPr>
        <w:pStyle w:val="Heading1"/>
        <w:bidi w:val="0"/>
        <w:jc w:val="left"/>
        <w:rPr/>
      </w:pPr>
      <w:r>
        <w:rPr/>
        <w:t>Namuna jadval (haqiqiy statistika emas)</w:t>
      </w:r>
    </w:p>
    <w:tbl>
      <w:tblPr>
        <w:tblW w:w="1607" w:type="dxa"/>
        <w:jc w:val="left"/>
        <w:tblInd w:w="0" w:type="dxa"/>
        <w:tblLayout w:type="fixed"/>
        <w:tblCellMar>
          <w:top w:w="28" w:type="dxa"/>
          <w:left w:w="28" w:type="dxa"/>
          <w:bottom w:w="28" w:type="dxa"/>
          <w:right w:w="28" w:type="dxa"/>
        </w:tblCellMar>
      </w:tblPr>
      <w:tblGrid>
        <w:gridCol w:w="601"/>
        <w:gridCol w:w="1006"/>
      </w:tblGrid>
      <w:tr>
        <w:trPr/>
        <w:tc>
          <w:tcPr>
            <w:tcW w:w="601" w:type="dxa"/>
            <w:tcBorders/>
            <w:vAlign w:val="center"/>
          </w:tcPr>
          <w:p>
            <w:pPr>
              <w:pStyle w:val="TableHeading"/>
              <w:suppressLineNumbers/>
              <w:bidi w:val="0"/>
              <w:spacing w:before="0" w:after="283"/>
              <w:jc w:val="center"/>
              <w:rPr/>
            </w:pPr>
            <w:r>
              <w:rPr/>
              <w:t>Yil</w:t>
            </w:r>
          </w:p>
        </w:tc>
        <w:tc>
          <w:tcPr>
            <w:tcW w:w="1006" w:type="dxa"/>
            <w:tcBorders/>
            <w:vAlign w:val="center"/>
          </w:tcPr>
          <w:p>
            <w:pPr>
              <w:pStyle w:val="TableHeading"/>
              <w:suppressLineNumbers/>
              <w:bidi w:val="0"/>
              <w:spacing w:before="0" w:after="283"/>
              <w:jc w:val="center"/>
              <w:rPr/>
            </w:pPr>
            <w:r>
              <w:rPr/>
              <w:t>Narx indeksi (bazaviy yil = 100)</w:t>
            </w:r>
          </w:p>
        </w:tc>
      </w:tr>
      <w:tr>
        <w:trPr/>
        <w:tc>
          <w:tcPr>
            <w:tcW w:w="601" w:type="dxa"/>
            <w:tcBorders/>
            <w:vAlign w:val="center"/>
          </w:tcPr>
          <w:p>
            <w:pPr>
              <w:pStyle w:val="TableContents"/>
              <w:bidi w:val="0"/>
              <w:spacing w:before="0" w:after="283"/>
              <w:jc w:val="left"/>
              <w:rPr/>
            </w:pPr>
            <w:r>
              <w:rPr/>
              <w:t>2021</w:t>
            </w:r>
          </w:p>
        </w:tc>
        <w:tc>
          <w:tcPr>
            <w:tcW w:w="1006" w:type="dxa"/>
            <w:tcBorders/>
            <w:vAlign w:val="center"/>
          </w:tcPr>
          <w:p>
            <w:pPr>
              <w:pStyle w:val="TableContents"/>
              <w:bidi w:val="0"/>
              <w:spacing w:before="0" w:after="283"/>
              <w:jc w:val="left"/>
              <w:rPr/>
            </w:pPr>
            <w:r>
              <w:rPr/>
              <w:t>100</w:t>
            </w:r>
          </w:p>
        </w:tc>
      </w:tr>
      <w:tr>
        <w:trPr/>
        <w:tc>
          <w:tcPr>
            <w:tcW w:w="601" w:type="dxa"/>
            <w:tcBorders/>
            <w:vAlign w:val="center"/>
          </w:tcPr>
          <w:p>
            <w:pPr>
              <w:pStyle w:val="TableContents"/>
              <w:bidi w:val="0"/>
              <w:spacing w:before="0" w:after="283"/>
              <w:jc w:val="left"/>
              <w:rPr/>
            </w:pPr>
            <w:r>
              <w:rPr/>
              <w:t>2022</w:t>
            </w:r>
          </w:p>
        </w:tc>
        <w:tc>
          <w:tcPr>
            <w:tcW w:w="1006" w:type="dxa"/>
            <w:tcBorders/>
            <w:vAlign w:val="center"/>
          </w:tcPr>
          <w:p>
            <w:pPr>
              <w:pStyle w:val="TableContents"/>
              <w:bidi w:val="0"/>
              <w:spacing w:before="0" w:after="283"/>
              <w:jc w:val="left"/>
              <w:rPr/>
            </w:pPr>
            <w:r>
              <w:rPr/>
              <w:t>110</w:t>
            </w:r>
          </w:p>
        </w:tc>
      </w:tr>
      <w:tr>
        <w:trPr/>
        <w:tc>
          <w:tcPr>
            <w:tcW w:w="601" w:type="dxa"/>
            <w:tcBorders/>
            <w:vAlign w:val="center"/>
          </w:tcPr>
          <w:p>
            <w:pPr>
              <w:pStyle w:val="TableContents"/>
              <w:bidi w:val="0"/>
              <w:spacing w:before="0" w:after="283"/>
              <w:jc w:val="left"/>
              <w:rPr/>
            </w:pPr>
            <w:r>
              <w:rPr/>
              <w:t>2023</w:t>
            </w:r>
          </w:p>
        </w:tc>
        <w:tc>
          <w:tcPr>
            <w:tcW w:w="1006" w:type="dxa"/>
            <w:tcBorders/>
            <w:vAlign w:val="center"/>
          </w:tcPr>
          <w:p>
            <w:pPr>
              <w:pStyle w:val="TableContents"/>
              <w:bidi w:val="0"/>
              <w:spacing w:before="0" w:after="283"/>
              <w:jc w:val="left"/>
              <w:rPr/>
            </w:pPr>
            <w:r>
              <w:rPr/>
              <w:t>121</w:t>
            </w:r>
          </w:p>
        </w:tc>
      </w:tr>
      <w:tr>
        <w:trPr/>
        <w:tc>
          <w:tcPr>
            <w:tcW w:w="601" w:type="dxa"/>
            <w:tcBorders/>
            <w:vAlign w:val="center"/>
          </w:tcPr>
          <w:p>
            <w:pPr>
              <w:pStyle w:val="TableContents"/>
              <w:bidi w:val="0"/>
              <w:spacing w:before="0" w:after="283"/>
              <w:jc w:val="left"/>
              <w:rPr/>
            </w:pPr>
            <w:r>
              <w:rPr/>
              <w:t>2024</w:t>
            </w:r>
          </w:p>
        </w:tc>
        <w:tc>
          <w:tcPr>
            <w:tcW w:w="1006" w:type="dxa"/>
            <w:tcBorders/>
            <w:vAlign w:val="center"/>
          </w:tcPr>
          <w:p>
            <w:pPr>
              <w:pStyle w:val="TableContents"/>
              <w:bidi w:val="0"/>
              <w:spacing w:before="0" w:after="283"/>
              <w:jc w:val="left"/>
              <w:rPr/>
            </w:pPr>
            <w:r>
              <w:rPr/>
              <w:t>130</w:t>
            </w:r>
          </w:p>
        </w:tc>
      </w:tr>
    </w:tbl>
    <w:p>
      <w:pPr>
        <w:pStyle w:val="BodyText"/>
        <w:bidi w:val="0"/>
        <w:spacing w:before="0" w:after="283"/>
        <w:jc w:val="left"/>
        <w:rPr/>
      </w:pPr>
      <w:r>
        <w:rPr/>
        <w:t>Jadvaldagi qiymatlar o‘quv misoli uchun o‘ylab topilgan. Masalan, 2022-yilda indeks 110 ga teng bo‘lgani uchun 2021-yilga nisbatan narxlar 10 foizga oshgan.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Noto Sans">
    <w:charset w:val="00"/>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sz w:val="24"/>
      <w:szCs w:val="24"/>
      <w:lang w:val="en-US" w:eastAsia="zh-CN" w:bidi="hi-IN"/>
    </w:rPr>
  </w:style>
  <w:style w:type="paragraph" w:styleId="Heading1">
    <w:name w:val="Heading 1"/>
    <w:basedOn w:val="Heading"/>
    <w:next w:val="BodyText"/>
    <w:qFormat/>
    <w:pPr>
      <w:pageBreakBefore/>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WenQuanYi Zen Hei" w:cs="FreeSans"/>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TALABA AI test materiali</dc:creator>
  <dc:description/>
  <dc:language>en-US</dc:language>
  <cp:lastModifiedBy/>
  <cp:revision>0</cp:revision>
  <dc:subject/>
  <dc:title>Iqtisodiyot nazariyasi asoslari (o‘quv qo‘llanma namunasi)</dc:title>
</cp:coreProperties>
</file>

<file path=docProps/custom.xml><?xml version="1.0" encoding="utf-8"?>
<Properties xmlns="http://schemas.openxmlformats.org/officeDocument/2006/custom-properties" xmlns:vt="http://schemas.openxmlformats.org/officeDocument/2006/docPropsVTypes"/>
</file>