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墨枢产品需求与技术实施说明</w:t>
      </w:r>
    </w:p>
    <w:p>
      <w:pPr>
        <w:pStyle w:val="Heading1"/>
      </w:pPr>
      <w:r>
        <w:t>2026年10月17日 墨稿接入修订</w:t>
      </w:r>
    </w:p>
    <w:p>
      <w:pPr/>
      <w:r>
        <w:t>本版依据用户最新确认，将同级墨稿的现有写作界面和创作流程迁入墨枢，数据改用本地 SQLite。本文旧有“仅作领域参考、不复用旧源码”的限制由本修订覆盖。原墨稿目录保持原样，不接入旧后端、MySQL、账号、会员计费或社区。</w:t>
      </w:r>
    </w:p>
    <w:p>
      <w:pPr>
        <w:pStyle w:val="Heading2"/>
      </w:pPr>
      <w:r>
        <w:t>迁入范围与保存约定</w:t>
      </w:r>
    </w:p>
    <w:p>
      <w:pPr/>
      <w:r>
        <w:t>保留原书架、章节写作、短篇、人物、世界观、大纲、伏笔、时间线数据、素材、完善台、上下文及可选 AI 流程。数据、文件导出、完整备份和 AI HTTP 请求由 Rust 执行。已有墨枢手动版作品保留独立入口。</w:t>
      </w:r>
    </w:p>
    <w:p>
      <w:pPr/>
      <w:r>
        <w:t>普通保存按版本校验，正文修改前建立历史快照；正文改变后来源派生记录过期。AI 使用会话密钥或系统凭据，密钥不进入 SQLite 与备份。生成与主动中断的候选在本地生成记录查看。</w:t>
      </w:r>
    </w:p>
    <w:p>
      <w:pPr>
        <w:pStyle w:val="Heading2"/>
      </w:pPr>
      <w:r>
        <w:t>资料库阅读与完整窗口写作</w:t>
      </w:r>
    </w:p>
    <w:p>
      <w:pPr/>
      <w:r>
        <w:t>长篇、短篇与此前手动版作品自动进入资料库，可按目录阅读最新保存稿并定位到同章编辑。停用写作模块仍可阅读，删除和备份恢复后的结果直接反映在资料库。作品使用实时阅读入口，不另存第二份正文；当前不参与普通附件的文件夹、项目、标签和收藏筛选。进入墨稿默认与其他页面相同，保留侧栏和正常布局。点击“全屏”展开写作区并进入系统全屏，点击“退出全屏”恢复；提供返回资料库与模块中心的入口。返回前仍检查保存与输入状态。</w:t>
      </w:r>
    </w:p>
    <w:p>
      <w:pPr>
        <w:pStyle w:val="Heading2"/>
      </w:pPr>
      <w:r>
        <w:t>验收状态</w:t>
      </w:r>
    </w:p>
    <w:p>
      <w:pPr/>
      <w:r>
        <w:t>已完成的真实测试与待验证事项以 docs/implementation-status.md 和 docs/evidence/s04-mogao-integration.md、s04-mogao-library.md 为准。代码编译、协议测试、macOS 样本验证与真实 AI 创作质量分别记录；Windows、系统缩放与原有基础版未关闭项继续保留。</w:t>
      </w:r>
    </w:p>
    <w:p>
      <w:pPr>
        <w:pageBreakBefore/>
      </w:pPr>
    </w:p>
    <w:p>
      <w:pPr>
        <w:pStyle w:val="Subtitle"/>
      </w:pPr>
      <w:r>
        <w:t>个人工作空间与墨稿小说模块开发执行基线</w:t>
      </w:r>
    </w:p>
    <w:p>
      <w:r>
        <w:t>版本 1.2    日期 2026年10月11日    使用对象 产品负责人及 Codex</w:t>
      </w:r>
    </w:p>
    <w:p>
      <w:r>
        <w:t>墨枢基础平台须在未启用任何业务模块时独立可用。先完成项目、资料、笔记、任务、搜索、设置与数据管理，再加入重新开发的墨稿小说模块。本文规定功能边界、实现方式、数据可靠性与分阶段验收，可直接作为开发任务依据。</w:t>
      </w:r>
    </w:p>
    <w:p>
      <w:pPr>
        <w:pStyle w:val="Heading2"/>
      </w:pPr>
      <w:r>
        <w:t>技术基线</w:t>
      </w:r>
    </w:p>
    <w:p>
      <w:r>
        <w:t>Rust 与 Tauri 2 实现桌面核心，TypeScript 与 React 实现界面，SQLite 与托管附件保存本地数据。AI 按需启用，非 AI 功能离线可用。墨稿已有项目用于提炼业务经验，新模块独立实现。</w:t>
      </w:r>
    </w:p>
    <w:p>
      <w:pPr>
        <w:pStyle w:val="Heading2"/>
      </w:pPr>
      <w:r>
        <w:t>阅读导航</w:t>
      </w:r>
    </w:p>
    <w:p>
      <w:pPr>
        <w:spacing w:after="60"/>
      </w:pPr>
      <w:hyperlink w:anchor="chapter_1">
        <w:r>
          <w:t>1 产品定位与范围</w:t>
        </w:r>
      </w:hyperlink>
    </w:p>
    <w:p>
      <w:pPr>
        <w:spacing w:after="60"/>
      </w:pPr>
      <w:hyperlink w:anchor="chapter_2">
        <w:r>
          <w:t>2 用户故事与完整流程</w:t>
        </w:r>
      </w:hyperlink>
    </w:p>
    <w:p>
      <w:pPr>
        <w:spacing w:after="60"/>
      </w:pPr>
      <w:hyperlink w:anchor="chapter_3">
        <w:r>
          <w:t>3 基础平台功能要求</w:t>
        </w:r>
      </w:hyperlink>
    </w:p>
    <w:p>
      <w:pPr>
        <w:spacing w:after="60"/>
      </w:pPr>
      <w:hyperlink w:anchor="chapter_4">
        <w:r>
          <w:t>4 墨稿小说模块重写要求</w:t>
        </w:r>
      </w:hyperlink>
    </w:p>
    <w:p>
      <w:pPr>
        <w:spacing w:after="60"/>
      </w:pPr>
      <w:hyperlink w:anchor="chapter_5">
        <w:r>
          <w:t>5 技术方案与工程边界</w:t>
        </w:r>
      </w:hyperlink>
    </w:p>
    <w:p>
      <w:pPr>
        <w:spacing w:after="60"/>
      </w:pPr>
      <w:hyperlink w:anchor="chapter_6">
        <w:r>
          <w:t>6 界面与交互规范</w:t>
        </w:r>
      </w:hyperlink>
    </w:p>
    <w:p>
      <w:pPr>
        <w:spacing w:after="60"/>
      </w:pPr>
      <w:hyperlink w:anchor="chapter_7">
        <w:r>
          <w:t>7 模块契约与扩展规则</w:t>
        </w:r>
      </w:hyperlink>
    </w:p>
    <w:p>
      <w:pPr>
        <w:spacing w:after="60"/>
      </w:pPr>
      <w:hyperlink w:anchor="chapter_8">
        <w:r>
          <w:t>8 数据模型与可靠性</w:t>
        </w:r>
      </w:hyperlink>
    </w:p>
    <w:p>
      <w:pPr>
        <w:spacing w:after="60"/>
      </w:pPr>
      <w:hyperlink w:anchor="chapter_9">
        <w:r>
          <w:t>9 AI 能力与数据使用策略</w:t>
        </w:r>
      </w:hyperlink>
    </w:p>
    <w:p>
      <w:pPr>
        <w:spacing w:after="60"/>
      </w:pPr>
      <w:hyperlink w:anchor="chapter_10">
        <w:r>
          <w:t>10 非功能要求与验证基线</w:t>
        </w:r>
      </w:hyperlink>
    </w:p>
    <w:p>
      <w:pPr>
        <w:spacing w:after="60"/>
      </w:pPr>
      <w:hyperlink w:anchor="chapter_11">
        <w:r>
          <w:t>11 验收矩阵</w:t>
        </w:r>
      </w:hyperlink>
    </w:p>
    <w:p>
      <w:pPr>
        <w:spacing w:after="60"/>
      </w:pPr>
      <w:hyperlink w:anchor="chapter_12">
        <w:r>
          <w:t>12 Codex 分阶段实施任务</w:t>
        </w:r>
      </w:hyperlink>
    </w:p>
    <w:p>
      <w:pPr>
        <w:spacing w:after="60"/>
      </w:pPr>
      <w:hyperlink w:anchor="chapter_13">
        <w:r>
          <w:t>13 风险 默认值与参考依据</w:t>
        </w:r>
      </w:hyperlink>
    </w:p>
    <w:p>
      <w:bookmarkStart w:id="1" w:name="chapter_1"/>
      <w:pPr>
        <w:pStyle w:val="Heading1"/>
        <w:pageBreakBefore/>
      </w:pPr>
      <w:r>
        <w:t>1 产品定位与范围</w:t>
      </w:r>
      <w:bookmarkEnd w:id="1"/>
    </w:p>
    <w:p>
      <w:r>
        <w:t>墨枢 Moshub 是一个本地优先的个人工作空间。用户在未启用任何业务模块时，也能完成项目管理、资料整理、笔记记录、任务安排、内容查找和数据备份。墨稿 Mogao 是第一个业务模块，围绕小说创作重新开发，使用平台提供的通用能力。</w:t>
      </w:r>
    </w:p>
    <w:p>
      <w:r>
        <w:t>本文是 Codex 开发执行基线 v1.2，日期为 2026 年 10 月 11 日。产品负责人为用户，实施者为 Codex。本文中的“必须”属于交付条件；“建议”允许用有记录的等价方案替换；“后续”不计入首版验收。技术决策已按用户授权选定，待确认事项采用第 13 节的默认值，避免阻塞基础开发。</w:t>
      </w:r>
    </w:p>
    <w:p>
      <w:pPr>
        <w:pStyle w:val="Heading2"/>
      </w:pPr>
      <w:r>
        <w:t>1.1 目标与成功条件</w:t>
      </w:r>
    </w:p>
    <w:p>
      <w:pPr>
        <w:pStyle w:val="ListBullet"/>
      </w:pPr>
      <w:r>
        <w:t>独立实用：关闭所有业务模块后，基础平台仍可完成“创建项目 → 添加资料与笔记 → 安排任务 → 查找 → 归档 → 备份恢复”。</w:t>
      </w:r>
    </w:p>
    <w:p>
      <w:pPr>
        <w:pStyle w:val="ListBullet"/>
      </w:pPr>
      <w:r>
        <w:t>长期扩展：新增内置模块主要增加模块目录、注册项和本模块迁移，不修改现有项目、资料和任务的业务实现。</w:t>
      </w:r>
    </w:p>
    <w:p>
      <w:pPr>
        <w:pStyle w:val="ListBullet"/>
      </w:pPr>
      <w:r>
        <w:t>数据可靠：所有已获得保存成功回执的内容，重启后保持完整；失败、冲突和派生分析过期均可见。</w:t>
      </w:r>
    </w:p>
    <w:p>
      <w:pPr>
        <w:pStyle w:val="ListBullet"/>
      </w:pPr>
      <w:r>
        <w:t>体验统一：基础页面与模块共用导航、主题、常用组件、错误反馈和快捷键规则。</w:t>
      </w:r>
    </w:p>
    <w:p>
      <w:pPr>
        <w:pStyle w:val="ListBullet"/>
      </w:pPr>
      <w:r>
        <w:t>按需使用 AI：未配置密钥、断网或提供商故障时，基础功能和手动小说创作仍然可用。</w:t>
      </w:r>
    </w:p>
    <w:p>
      <w:r>
        <w:t>“持续扩展”指有清晰边界和经过验证的增加模块流程，不承诺无限数量模块或零维护成本。</w:t>
      </w:r>
    </w:p>
    <w:p>
      <w:pPr>
        <w:pStyle w:val="Heading2"/>
      </w:pPr>
      <w:r>
        <w:t>1.2 名称与品牌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5040"/>
      </w:tblGrid>
      <w:tr>
        <w:trPr>
          <w:tblHeader/>
          <w:cantSplit/>
        </w:trPr>
        <w:tc>
          <w:tcPr>
            <w:tcW w:type="dxa" w:w="1944"/>
            <w:vAlign w:val="center"/>
            <w:tcMar>
              <w:top w:w="95" w:type="dxa"/>
              <w:bottom w:w="95" w:type="dxa"/>
              <w:left w:w="110" w:type="dxa"/>
              <w:right w:w="110" w:type="dxa"/>
            </w:tcMar>
            <w:shd w:fill="DBE8F0"/>
          </w:tcPr>
          <w:p>
            <w:pPr>
              <w:keepNext w:val="0"/>
              <w:spacing w:line="280" w:lineRule="exact" w:after="20" w:before="20"/>
            </w:pPr>
            <w:r>
              <w:rPr>
                <w:b/>
                <w:sz w:val="20"/>
              </w:rPr>
              <w:t>中文名称</w:t>
            </w:r>
          </w:p>
        </w:tc>
        <w:tc>
          <w:tcPr>
            <w:tcW w:type="dxa" w:w="2952"/>
            <w:vAlign w:val="center"/>
            <w:tcMar>
              <w:top w:w="95" w:type="dxa"/>
              <w:bottom w:w="95" w:type="dxa"/>
              <w:left w:w="110" w:type="dxa"/>
              <w:right w:w="110" w:type="dxa"/>
            </w:tcMar>
            <w:shd w:fill="DBE8F0"/>
          </w:tcPr>
          <w:p>
            <w:pPr>
              <w:keepNext w:val="0"/>
              <w:spacing w:line="280" w:lineRule="exact" w:after="20" w:before="20"/>
            </w:pPr>
            <w:r>
              <w:rPr>
                <w:b/>
                <w:sz w:val="20"/>
              </w:rPr>
              <w:t>英文名称</w:t>
            </w:r>
          </w:p>
        </w:tc>
        <w:tc>
          <w:tcPr>
            <w:tcW w:type="dxa" w:w="5040"/>
            <w:vAlign w:val="center"/>
            <w:tcMar>
              <w:top w:w="95" w:type="dxa"/>
              <w:bottom w:w="95" w:type="dxa"/>
              <w:left w:w="110" w:type="dxa"/>
              <w:right w:w="110" w:type="dxa"/>
            </w:tcMar>
            <w:shd w:fill="DBE8F0"/>
          </w:tcPr>
          <w:p>
            <w:pPr>
              <w:keepNext w:val="0"/>
              <w:spacing w:line="280" w:lineRule="exact" w:after="20" w:before="20"/>
            </w:pPr>
            <w:r>
              <w:rPr>
                <w:b/>
                <w:sz w:val="20"/>
              </w:rPr>
              <w:t>定位与取舍</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墨枢</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Moshub</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选定工作名称；延续墨稿的创作与积累意象，“枢”表示统一工作入口</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知屿</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Noteforge</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备选；强调个人知识积累，但对非知识工具的覆盖较弱</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自序</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Ownspace</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备选；强调个人组织与秩序，与墨稿的品牌关联较弱</w:t>
            </w:r>
          </w:p>
        </w:tc>
      </w:tr>
    </w:tbl>
    <w:p>
      <w:pPr>
        <w:spacing w:after="60" w:before="0" w:line="60" w:lineRule="exact"/>
      </w:pPr>
      <w:r>
        <w:rPr>
          <w:sz w:val="6"/>
        </w:rPr>
      </w:r>
    </w:p>
    <w:p>
      <w:r>
        <w:t>界面显示“墨枢”，技术标识使用 moshub；小说模块显示“墨稿”，模块标识使用 mogao。名称为项目工作名称，正式公开发布前再处理名称可用性。模块英文名与旧项目部署地址、数据库名没有兼容义务。</w:t>
      </w:r>
    </w:p>
    <w:p>
      <w:pPr>
        <w:pStyle w:val="Heading2"/>
      </w:pPr>
      <w:r>
        <w:t>1.3 首版范围</w:t>
      </w:r>
    </w:p>
    <w:p>
      <w:r>
        <w:t>交付分为两个可独立验收的版本。基础版包含第 3 节全部 B 类要求；小说版在基础版上增加第 4 节 N01 至 N08。基础版可以先投入使用，小说版完成后作为第一个业务模块发布。</w:t>
      </w:r>
    </w:p>
    <w:p>
      <w:r>
        <w:t>首版采用单用户、单工作空间、单应用实例。AI 使用用户自带连接与密钥。面向 macOS 首先验收，同时保持 Windows 构建兼容，并在小说版正式发布前执行 Windows 实机检查。浏览器开发预览只是开发工具，不等于交付 Web 版。</w:t>
      </w:r>
    </w:p>
    <w:p>
      <w:r>
        <w:t>后续候选包括数据收集模块、文档规范驱动编程模块、云同步和更多创作辅助。首版不安排插件商店、第三方动态代码加载、账号计费、社区发布、实时协作或服务器运维系统。</w:t>
      </w:r>
    </w:p>
    <w:p>
      <w:bookmarkStart w:id="2" w:name="chapter_2"/>
      <w:pPr>
        <w:pStyle w:val="Heading1"/>
      </w:pPr>
      <w:r>
        <w:t>2 用户故事与完整流程</w:t>
      </w:r>
      <w:bookmarkEnd w:id="2"/>
    </w:p>
    <w:p>
      <w:pPr>
        <w:pStyle w:val="Heading2"/>
      </w:pPr>
      <w:r>
        <w:t>2.1 用户故事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6696"/>
        <w:gridCol w:w="2304"/>
      </w:tblGrid>
      <w:tr>
        <w:trPr>
          <w:tblHeader/>
          <w:cantSplit/>
        </w:trPr>
        <w:tc>
          <w:tcPr>
            <w:tcW w:type="dxa" w:w="936"/>
            <w:vAlign w:val="center"/>
            <w:tcMar>
              <w:top w:w="95" w:type="dxa"/>
              <w:bottom w:w="95" w:type="dxa"/>
              <w:left w:w="110" w:type="dxa"/>
              <w:right w:w="110" w:type="dxa"/>
            </w:tcMar>
            <w:shd w:fill="DBE8F0"/>
          </w:tcPr>
          <w:p>
            <w:pPr>
              <w:keepNext w:val="0"/>
              <w:spacing w:line="280" w:lineRule="exact" w:after="20" w:before="20"/>
              <w:jc w:val="center"/>
            </w:pPr>
            <w:r>
              <w:rPr>
                <w:b/>
                <w:sz w:val="20"/>
              </w:rPr>
              <w:t>编号</w:t>
            </w:r>
          </w:p>
        </w:tc>
        <w:tc>
          <w:tcPr>
            <w:tcW w:type="dxa" w:w="6696"/>
            <w:vAlign w:val="center"/>
            <w:tcMar>
              <w:top w:w="95" w:type="dxa"/>
              <w:bottom w:w="95" w:type="dxa"/>
              <w:left w:w="110" w:type="dxa"/>
              <w:right w:w="110" w:type="dxa"/>
            </w:tcMar>
            <w:shd w:fill="DBE8F0"/>
          </w:tcPr>
          <w:p>
            <w:pPr>
              <w:keepNext w:val="0"/>
              <w:spacing w:line="280" w:lineRule="exact" w:after="20" w:before="20"/>
            </w:pPr>
            <w:r>
              <w:rPr>
                <w:b/>
                <w:sz w:val="20"/>
              </w:rPr>
              <w:t>用户希望完成的事情</w:t>
            </w:r>
          </w:p>
        </w:tc>
        <w:tc>
          <w:tcPr>
            <w:tcW w:type="dxa" w:w="2304"/>
            <w:vAlign w:val="center"/>
            <w:tcMar>
              <w:top w:w="95" w:type="dxa"/>
              <w:bottom w:w="95" w:type="dxa"/>
              <w:left w:w="110" w:type="dxa"/>
              <w:right w:w="110" w:type="dxa"/>
            </w:tcMar>
            <w:shd w:fill="DBE8F0"/>
          </w:tcPr>
          <w:p>
            <w:pPr>
              <w:keepNext w:val="0"/>
              <w:spacing w:line="280" w:lineRule="exact" w:after="20" w:before="20"/>
            </w:pPr>
            <w:r>
              <w:rPr>
                <w:b/>
                <w:sz w:val="20"/>
              </w:rPr>
              <w:t>关联要求</w:t>
            </w:r>
          </w:p>
        </w:tc>
      </w:tr>
      <w:tr>
        <w:trPr>
          <w:cantSplit/>
        </w:trPr>
        <w:tc>
          <w:tcPr>
            <w:tcW w:type="dxa" w:w="936"/>
            <w:vAlign w:val="center"/>
            <w:tcMar>
              <w:top w:w="95" w:type="dxa"/>
              <w:bottom w:w="95" w:type="dxa"/>
              <w:left w:w="110" w:type="dxa"/>
              <w:right w:w="110" w:type="dxa"/>
            </w:tcMar>
            <w:shd w:fill="FFFFFF"/>
          </w:tcPr>
          <w:p>
            <w:pPr>
              <w:keepNext w:val="0"/>
              <w:spacing w:line="280" w:lineRule="exact" w:after="20" w:before="20"/>
              <w:jc w:val="center"/>
            </w:pPr>
            <w:r>
              <w:rPr>
                <w:sz w:val="20"/>
              </w:rPr>
              <w:t>US01</w:t>
            </w:r>
          </w:p>
        </w:tc>
        <w:tc>
          <w:tcPr>
            <w:tcW w:type="dxa" w:w="6696"/>
            <w:vAlign w:val="center"/>
            <w:tcMar>
              <w:top w:w="95" w:type="dxa"/>
              <w:bottom w:w="95" w:type="dxa"/>
              <w:left w:w="110" w:type="dxa"/>
              <w:right w:w="110" w:type="dxa"/>
            </w:tcMar>
            <w:shd w:fill="FFFFFF"/>
          </w:tcPr>
          <w:p>
            <w:pPr>
              <w:keepNext w:val="0"/>
              <w:spacing w:line="280" w:lineRule="exact" w:after="20" w:before="20"/>
            </w:pPr>
            <w:r>
              <w:rPr>
                <w:sz w:val="20"/>
              </w:rPr>
              <w:t>首次打开时了解用途，立即创建项目或笔记</w:t>
            </w:r>
          </w:p>
        </w:tc>
        <w:tc>
          <w:tcPr>
            <w:tcW w:type="dxa" w:w="2304"/>
            <w:vAlign w:val="center"/>
            <w:tcMar>
              <w:top w:w="95" w:type="dxa"/>
              <w:bottom w:w="95" w:type="dxa"/>
              <w:left w:w="110" w:type="dxa"/>
              <w:right w:w="110" w:type="dxa"/>
            </w:tcMar>
            <w:shd w:fill="FFFFFF"/>
          </w:tcPr>
          <w:p>
            <w:pPr>
              <w:keepNext w:val="0"/>
              <w:spacing w:line="280" w:lineRule="exact" w:after="20" w:before="20"/>
            </w:pPr>
            <w:r>
              <w:rPr>
                <w:sz w:val="20"/>
              </w:rPr>
              <w:t>B01 B02 B04 B10</w:t>
            </w:r>
          </w:p>
        </w:tc>
      </w:tr>
      <w:tr>
        <w:trPr>
          <w:cantSplit/>
        </w:trPr>
        <w:tc>
          <w:tcPr>
            <w:tcW w:type="dxa" w:w="936"/>
            <w:vAlign w:val="center"/>
            <w:tcMar>
              <w:top w:w="95" w:type="dxa"/>
              <w:bottom w:w="95" w:type="dxa"/>
              <w:left w:w="110" w:type="dxa"/>
              <w:right w:w="110" w:type="dxa"/>
            </w:tcMar>
            <w:shd w:fill="F6F8FA"/>
          </w:tcPr>
          <w:p>
            <w:pPr>
              <w:keepNext w:val="0"/>
              <w:spacing w:line="280" w:lineRule="exact" w:after="20" w:before="20"/>
              <w:jc w:val="center"/>
            </w:pPr>
            <w:r>
              <w:rPr>
                <w:sz w:val="20"/>
              </w:rPr>
              <w:t>US02</w:t>
            </w:r>
          </w:p>
        </w:tc>
        <w:tc>
          <w:tcPr>
            <w:tcW w:type="dxa" w:w="6696"/>
            <w:vAlign w:val="center"/>
            <w:tcMar>
              <w:top w:w="95" w:type="dxa"/>
              <w:bottom w:w="95" w:type="dxa"/>
              <w:left w:w="110" w:type="dxa"/>
              <w:right w:w="110" w:type="dxa"/>
            </w:tcMar>
            <w:shd w:fill="F6F8FA"/>
          </w:tcPr>
          <w:p>
            <w:pPr>
              <w:keepNext w:val="0"/>
              <w:spacing w:line="280" w:lineRule="exact" w:after="20" w:before="20"/>
            </w:pPr>
            <w:r>
              <w:rPr>
                <w:sz w:val="20"/>
              </w:rPr>
              <w:t>将文件、链接和笔记组织到项目中，保留来源</w:t>
            </w:r>
          </w:p>
        </w:tc>
        <w:tc>
          <w:tcPr>
            <w:tcW w:type="dxa" w:w="2304"/>
            <w:vAlign w:val="center"/>
            <w:tcMar>
              <w:top w:w="95" w:type="dxa"/>
              <w:bottom w:w="95" w:type="dxa"/>
              <w:left w:w="110" w:type="dxa"/>
              <w:right w:w="110" w:type="dxa"/>
            </w:tcMar>
            <w:shd w:fill="F6F8FA"/>
          </w:tcPr>
          <w:p>
            <w:pPr>
              <w:keepNext w:val="0"/>
              <w:spacing w:line="280" w:lineRule="exact" w:after="20" w:before="20"/>
            </w:pPr>
            <w:r>
              <w:rPr>
                <w:sz w:val="20"/>
              </w:rPr>
              <w:t>B02 B03 B04</w:t>
            </w:r>
          </w:p>
        </w:tc>
      </w:tr>
      <w:tr>
        <w:trPr>
          <w:cantSplit/>
        </w:trPr>
        <w:tc>
          <w:tcPr>
            <w:tcW w:type="dxa" w:w="936"/>
            <w:vAlign w:val="center"/>
            <w:tcMar>
              <w:top w:w="95" w:type="dxa"/>
              <w:bottom w:w="95" w:type="dxa"/>
              <w:left w:w="110" w:type="dxa"/>
              <w:right w:w="110" w:type="dxa"/>
            </w:tcMar>
            <w:shd w:fill="FFFFFF"/>
          </w:tcPr>
          <w:p>
            <w:pPr>
              <w:keepNext w:val="0"/>
              <w:spacing w:line="280" w:lineRule="exact" w:after="20" w:before="20"/>
              <w:jc w:val="center"/>
            </w:pPr>
            <w:r>
              <w:rPr>
                <w:sz w:val="20"/>
              </w:rPr>
              <w:t>US03</w:t>
            </w:r>
          </w:p>
        </w:tc>
        <w:tc>
          <w:tcPr>
            <w:tcW w:type="dxa" w:w="6696"/>
            <w:vAlign w:val="center"/>
            <w:tcMar>
              <w:top w:w="95" w:type="dxa"/>
              <w:bottom w:w="95" w:type="dxa"/>
              <w:left w:w="110" w:type="dxa"/>
              <w:right w:w="110" w:type="dxa"/>
            </w:tcMar>
            <w:shd w:fill="FFFFFF"/>
          </w:tcPr>
          <w:p>
            <w:pPr>
              <w:keepNext w:val="0"/>
              <w:spacing w:line="280" w:lineRule="exact" w:after="20" w:before="20"/>
            </w:pPr>
            <w:r>
              <w:rPr>
                <w:sz w:val="20"/>
              </w:rPr>
              <w:t>为项目创建任务，从首页继续推进</w:t>
            </w:r>
          </w:p>
        </w:tc>
        <w:tc>
          <w:tcPr>
            <w:tcW w:type="dxa" w:w="2304"/>
            <w:vAlign w:val="center"/>
            <w:tcMar>
              <w:top w:w="95" w:type="dxa"/>
              <w:bottom w:w="95" w:type="dxa"/>
              <w:left w:w="110" w:type="dxa"/>
              <w:right w:w="110" w:type="dxa"/>
            </w:tcMar>
            <w:shd w:fill="FFFFFF"/>
          </w:tcPr>
          <w:p>
            <w:pPr>
              <w:keepNext w:val="0"/>
              <w:spacing w:line="280" w:lineRule="exact" w:after="20" w:before="20"/>
            </w:pPr>
            <w:r>
              <w:rPr>
                <w:sz w:val="20"/>
              </w:rPr>
              <w:t>B01 B05</w:t>
            </w:r>
          </w:p>
        </w:tc>
      </w:tr>
      <w:tr>
        <w:trPr>
          <w:cantSplit/>
        </w:trPr>
        <w:tc>
          <w:tcPr>
            <w:tcW w:type="dxa" w:w="936"/>
            <w:vAlign w:val="center"/>
            <w:tcMar>
              <w:top w:w="95" w:type="dxa"/>
              <w:bottom w:w="95" w:type="dxa"/>
              <w:left w:w="110" w:type="dxa"/>
              <w:right w:w="110" w:type="dxa"/>
            </w:tcMar>
            <w:shd w:fill="F6F8FA"/>
          </w:tcPr>
          <w:p>
            <w:pPr>
              <w:keepNext w:val="0"/>
              <w:spacing w:line="280" w:lineRule="exact" w:after="20" w:before="20"/>
              <w:jc w:val="center"/>
            </w:pPr>
            <w:r>
              <w:rPr>
                <w:sz w:val="20"/>
              </w:rPr>
              <w:t>US04</w:t>
            </w:r>
          </w:p>
        </w:tc>
        <w:tc>
          <w:tcPr>
            <w:tcW w:type="dxa" w:w="6696"/>
            <w:vAlign w:val="center"/>
            <w:tcMar>
              <w:top w:w="95" w:type="dxa"/>
              <w:bottom w:w="95" w:type="dxa"/>
              <w:left w:w="110" w:type="dxa"/>
              <w:right w:w="110" w:type="dxa"/>
            </w:tcMar>
            <w:shd w:fill="F6F8FA"/>
          </w:tcPr>
          <w:p>
            <w:pPr>
              <w:keepNext w:val="0"/>
              <w:spacing w:line="280" w:lineRule="exact" w:after="20" w:before="20"/>
            </w:pPr>
            <w:r>
              <w:rPr>
                <w:sz w:val="20"/>
              </w:rPr>
              <w:t>记不清内容在哪里时，按关键词和类型查找</w:t>
            </w:r>
          </w:p>
        </w:tc>
        <w:tc>
          <w:tcPr>
            <w:tcW w:type="dxa" w:w="2304"/>
            <w:vAlign w:val="center"/>
            <w:tcMar>
              <w:top w:w="95" w:type="dxa"/>
              <w:bottom w:w="95" w:type="dxa"/>
              <w:left w:w="110" w:type="dxa"/>
              <w:right w:w="110" w:type="dxa"/>
            </w:tcMar>
            <w:shd w:fill="F6F8FA"/>
          </w:tcPr>
          <w:p>
            <w:pPr>
              <w:keepNext w:val="0"/>
              <w:spacing w:line="280" w:lineRule="exact" w:after="20" w:before="20"/>
            </w:pPr>
            <w:r>
              <w:rPr>
                <w:sz w:val="20"/>
              </w:rPr>
              <w:t>B06</w:t>
            </w:r>
          </w:p>
        </w:tc>
      </w:tr>
      <w:tr>
        <w:trPr>
          <w:cantSplit/>
        </w:trPr>
        <w:tc>
          <w:tcPr>
            <w:tcW w:type="dxa" w:w="936"/>
            <w:vAlign w:val="center"/>
            <w:tcMar>
              <w:top w:w="95" w:type="dxa"/>
              <w:bottom w:w="95" w:type="dxa"/>
              <w:left w:w="110" w:type="dxa"/>
              <w:right w:w="110" w:type="dxa"/>
            </w:tcMar>
            <w:shd w:fill="FFFFFF"/>
          </w:tcPr>
          <w:p>
            <w:pPr>
              <w:keepNext w:val="0"/>
              <w:spacing w:line="280" w:lineRule="exact" w:after="20" w:before="20"/>
              <w:jc w:val="center"/>
            </w:pPr>
            <w:r>
              <w:rPr>
                <w:sz w:val="20"/>
              </w:rPr>
              <w:t>US05</w:t>
            </w:r>
          </w:p>
        </w:tc>
        <w:tc>
          <w:tcPr>
            <w:tcW w:type="dxa" w:w="6696"/>
            <w:vAlign w:val="center"/>
            <w:tcMar>
              <w:top w:w="95" w:type="dxa"/>
              <w:bottom w:w="95" w:type="dxa"/>
              <w:left w:w="110" w:type="dxa"/>
              <w:right w:w="110" w:type="dxa"/>
            </w:tcMar>
            <w:shd w:fill="FFFFFF"/>
          </w:tcPr>
          <w:p>
            <w:pPr>
              <w:keepNext w:val="0"/>
              <w:spacing w:line="280" w:lineRule="exact" w:after="20" w:before="20"/>
            </w:pPr>
            <w:r>
              <w:rPr>
                <w:sz w:val="20"/>
              </w:rPr>
              <w:t>调整外观与快捷键，并在重启后保留偏好</w:t>
            </w:r>
          </w:p>
        </w:tc>
        <w:tc>
          <w:tcPr>
            <w:tcW w:type="dxa" w:w="2304"/>
            <w:vAlign w:val="center"/>
            <w:tcMar>
              <w:top w:w="95" w:type="dxa"/>
              <w:bottom w:w="95" w:type="dxa"/>
              <w:left w:w="110" w:type="dxa"/>
              <w:right w:w="110" w:type="dxa"/>
            </w:tcMar>
            <w:shd w:fill="FFFFFF"/>
          </w:tcPr>
          <w:p>
            <w:pPr>
              <w:keepNext w:val="0"/>
              <w:spacing w:line="280" w:lineRule="exact" w:after="20" w:before="20"/>
            </w:pPr>
            <w:r>
              <w:rPr>
                <w:sz w:val="20"/>
              </w:rPr>
              <w:t>B08</w:t>
            </w:r>
          </w:p>
        </w:tc>
      </w:tr>
      <w:tr>
        <w:trPr>
          <w:cantSplit/>
        </w:trPr>
        <w:tc>
          <w:tcPr>
            <w:tcW w:type="dxa" w:w="936"/>
            <w:vAlign w:val="center"/>
            <w:tcMar>
              <w:top w:w="95" w:type="dxa"/>
              <w:bottom w:w="95" w:type="dxa"/>
              <w:left w:w="110" w:type="dxa"/>
              <w:right w:w="110" w:type="dxa"/>
            </w:tcMar>
            <w:shd w:fill="F6F8FA"/>
          </w:tcPr>
          <w:p>
            <w:pPr>
              <w:keepNext w:val="0"/>
              <w:spacing w:line="280" w:lineRule="exact" w:after="20" w:before="20"/>
              <w:jc w:val="center"/>
            </w:pPr>
            <w:r>
              <w:rPr>
                <w:sz w:val="20"/>
              </w:rPr>
              <w:t>US06</w:t>
            </w:r>
          </w:p>
        </w:tc>
        <w:tc>
          <w:tcPr>
            <w:tcW w:type="dxa" w:w="6696"/>
            <w:vAlign w:val="center"/>
            <w:tcMar>
              <w:top w:w="95" w:type="dxa"/>
              <w:bottom w:w="95" w:type="dxa"/>
              <w:left w:w="110" w:type="dxa"/>
              <w:right w:w="110" w:type="dxa"/>
            </w:tcMar>
            <w:shd w:fill="F6F8FA"/>
          </w:tcPr>
          <w:p>
            <w:pPr>
              <w:keepNext w:val="0"/>
              <w:spacing w:line="280" w:lineRule="exact" w:after="20" w:before="20"/>
            </w:pPr>
            <w:r>
              <w:rPr>
                <w:sz w:val="20"/>
              </w:rPr>
              <w:t>误删后恢复，备份后在新安装中恢复数据</w:t>
            </w:r>
          </w:p>
        </w:tc>
        <w:tc>
          <w:tcPr>
            <w:tcW w:type="dxa" w:w="2304"/>
            <w:vAlign w:val="center"/>
            <w:tcMar>
              <w:top w:w="95" w:type="dxa"/>
              <w:bottom w:w="95" w:type="dxa"/>
              <w:left w:w="110" w:type="dxa"/>
              <w:right w:w="110" w:type="dxa"/>
            </w:tcMar>
            <w:shd w:fill="F6F8FA"/>
          </w:tcPr>
          <w:p>
            <w:pPr>
              <w:keepNext w:val="0"/>
              <w:spacing w:line="280" w:lineRule="exact" w:after="20" w:before="20"/>
            </w:pPr>
            <w:r>
              <w:rPr>
                <w:sz w:val="20"/>
              </w:rPr>
              <w:t>B09</w:t>
            </w:r>
          </w:p>
        </w:tc>
      </w:tr>
      <w:tr>
        <w:trPr>
          <w:cantSplit/>
        </w:trPr>
        <w:tc>
          <w:tcPr>
            <w:tcW w:type="dxa" w:w="936"/>
            <w:vAlign w:val="center"/>
            <w:tcMar>
              <w:top w:w="95" w:type="dxa"/>
              <w:bottom w:w="95" w:type="dxa"/>
              <w:left w:w="110" w:type="dxa"/>
              <w:right w:w="110" w:type="dxa"/>
            </w:tcMar>
            <w:shd w:fill="FFFFFF"/>
          </w:tcPr>
          <w:p>
            <w:pPr>
              <w:keepNext w:val="0"/>
              <w:spacing w:line="280" w:lineRule="exact" w:after="20" w:before="20"/>
              <w:jc w:val="center"/>
            </w:pPr>
            <w:r>
              <w:rPr>
                <w:sz w:val="20"/>
              </w:rPr>
              <w:t>US07</w:t>
            </w:r>
          </w:p>
        </w:tc>
        <w:tc>
          <w:tcPr>
            <w:tcW w:type="dxa" w:w="6696"/>
            <w:vAlign w:val="center"/>
            <w:tcMar>
              <w:top w:w="95" w:type="dxa"/>
              <w:bottom w:w="95" w:type="dxa"/>
              <w:left w:w="110" w:type="dxa"/>
              <w:right w:w="110" w:type="dxa"/>
            </w:tcMar>
            <w:shd w:fill="FFFFFF"/>
          </w:tcPr>
          <w:p>
            <w:pPr>
              <w:keepNext w:val="0"/>
              <w:spacing w:line="280" w:lineRule="exact" w:after="20" w:before="20"/>
            </w:pPr>
            <w:r>
              <w:rPr>
                <w:sz w:val="20"/>
              </w:rPr>
              <w:t>只启用需要的模块，停用时保留已有内容</w:t>
            </w:r>
          </w:p>
        </w:tc>
        <w:tc>
          <w:tcPr>
            <w:tcW w:type="dxa" w:w="2304"/>
            <w:vAlign w:val="center"/>
            <w:tcMar>
              <w:top w:w="95" w:type="dxa"/>
              <w:bottom w:w="95" w:type="dxa"/>
              <w:left w:w="110" w:type="dxa"/>
              <w:right w:w="110" w:type="dxa"/>
            </w:tcMar>
            <w:shd w:fill="FFFFFF"/>
          </w:tcPr>
          <w:p>
            <w:pPr>
              <w:keepNext w:val="0"/>
              <w:spacing w:line="280" w:lineRule="exact" w:after="20" w:before="20"/>
            </w:pPr>
            <w:r>
              <w:rPr>
                <w:sz w:val="20"/>
              </w:rPr>
              <w:t>B07</w:t>
            </w:r>
          </w:p>
        </w:tc>
      </w:tr>
      <w:tr>
        <w:trPr>
          <w:cantSplit/>
        </w:trPr>
        <w:tc>
          <w:tcPr>
            <w:tcW w:type="dxa" w:w="936"/>
            <w:vAlign w:val="center"/>
            <w:tcMar>
              <w:top w:w="95" w:type="dxa"/>
              <w:bottom w:w="95" w:type="dxa"/>
              <w:left w:w="110" w:type="dxa"/>
              <w:right w:w="110" w:type="dxa"/>
            </w:tcMar>
            <w:shd w:fill="F6F8FA"/>
          </w:tcPr>
          <w:p>
            <w:pPr>
              <w:keepNext w:val="0"/>
              <w:spacing w:line="280" w:lineRule="exact" w:after="20" w:before="20"/>
              <w:jc w:val="center"/>
            </w:pPr>
            <w:r>
              <w:rPr>
                <w:sz w:val="20"/>
              </w:rPr>
              <w:t>US08</w:t>
            </w:r>
          </w:p>
        </w:tc>
        <w:tc>
          <w:tcPr>
            <w:tcW w:type="dxa" w:w="6696"/>
            <w:vAlign w:val="center"/>
            <w:tcMar>
              <w:top w:w="95" w:type="dxa"/>
              <w:bottom w:w="95" w:type="dxa"/>
              <w:left w:w="110" w:type="dxa"/>
              <w:right w:w="110" w:type="dxa"/>
            </w:tcMar>
            <w:shd w:fill="F6F8FA"/>
          </w:tcPr>
          <w:p>
            <w:pPr>
              <w:keepNext w:val="0"/>
              <w:spacing w:line="280" w:lineRule="exact" w:after="20" w:before="20"/>
            </w:pPr>
            <w:r>
              <w:rPr>
                <w:sz w:val="20"/>
              </w:rPr>
              <w:t>在墨稿中组织作品、章节、人物和设定并手动创作</w:t>
            </w:r>
          </w:p>
        </w:tc>
        <w:tc>
          <w:tcPr>
            <w:tcW w:type="dxa" w:w="2304"/>
            <w:vAlign w:val="center"/>
            <w:tcMar>
              <w:top w:w="95" w:type="dxa"/>
              <w:bottom w:w="95" w:type="dxa"/>
              <w:left w:w="110" w:type="dxa"/>
              <w:right w:w="110" w:type="dxa"/>
            </w:tcMar>
            <w:shd w:fill="F6F8FA"/>
          </w:tcPr>
          <w:p>
            <w:pPr>
              <w:keepNext w:val="0"/>
              <w:spacing w:line="280" w:lineRule="exact" w:after="20" w:before="20"/>
            </w:pPr>
            <w:r>
              <w:rPr>
                <w:sz w:val="20"/>
              </w:rPr>
              <w:t>N01 N02 N03</w:t>
            </w:r>
          </w:p>
        </w:tc>
      </w:tr>
      <w:tr>
        <w:trPr>
          <w:cantSplit/>
        </w:trPr>
        <w:tc>
          <w:tcPr>
            <w:tcW w:type="dxa" w:w="936"/>
            <w:vAlign w:val="center"/>
            <w:tcMar>
              <w:top w:w="95" w:type="dxa"/>
              <w:bottom w:w="95" w:type="dxa"/>
              <w:left w:w="110" w:type="dxa"/>
              <w:right w:w="110" w:type="dxa"/>
            </w:tcMar>
            <w:shd w:fill="FFFFFF"/>
          </w:tcPr>
          <w:p>
            <w:pPr>
              <w:keepNext w:val="0"/>
              <w:spacing w:line="280" w:lineRule="exact" w:after="20" w:before="20"/>
              <w:jc w:val="center"/>
            </w:pPr>
            <w:r>
              <w:rPr>
                <w:sz w:val="20"/>
              </w:rPr>
              <w:t>US09</w:t>
            </w:r>
          </w:p>
        </w:tc>
        <w:tc>
          <w:tcPr>
            <w:tcW w:type="dxa" w:w="6696"/>
            <w:vAlign w:val="center"/>
            <w:tcMar>
              <w:top w:w="95" w:type="dxa"/>
              <w:bottom w:w="95" w:type="dxa"/>
              <w:left w:w="110" w:type="dxa"/>
              <w:right w:w="110" w:type="dxa"/>
            </w:tcMar>
            <w:shd w:fill="FFFFFF"/>
          </w:tcPr>
          <w:p>
            <w:pPr>
              <w:keepNext w:val="0"/>
              <w:spacing w:line="280" w:lineRule="exact" w:after="20" w:before="20"/>
            </w:pPr>
            <w:r>
              <w:rPr>
                <w:sz w:val="20"/>
              </w:rPr>
              <w:t>可选使用 AI，审阅候选后决定是否采用</w:t>
            </w:r>
          </w:p>
        </w:tc>
        <w:tc>
          <w:tcPr>
            <w:tcW w:type="dxa" w:w="2304"/>
            <w:vAlign w:val="center"/>
            <w:tcMar>
              <w:top w:w="95" w:type="dxa"/>
              <w:bottom w:w="95" w:type="dxa"/>
              <w:left w:w="110" w:type="dxa"/>
              <w:right w:w="110" w:type="dxa"/>
            </w:tcMar>
            <w:shd w:fill="FFFFFF"/>
          </w:tcPr>
          <w:p>
            <w:pPr>
              <w:keepNext w:val="0"/>
              <w:spacing w:line="280" w:lineRule="exact" w:after="20" w:before="20"/>
            </w:pPr>
            <w:r>
              <w:rPr>
                <w:sz w:val="20"/>
              </w:rPr>
              <w:t>N05 N06</w:t>
            </w:r>
          </w:p>
        </w:tc>
      </w:tr>
      <w:tr>
        <w:trPr>
          <w:cantSplit/>
        </w:trPr>
        <w:tc>
          <w:tcPr>
            <w:tcW w:type="dxa" w:w="936"/>
            <w:vAlign w:val="center"/>
            <w:tcMar>
              <w:top w:w="95" w:type="dxa"/>
              <w:bottom w:w="95" w:type="dxa"/>
              <w:left w:w="110" w:type="dxa"/>
              <w:right w:w="110" w:type="dxa"/>
            </w:tcMar>
            <w:shd w:fill="F6F8FA"/>
          </w:tcPr>
          <w:p>
            <w:pPr>
              <w:keepNext w:val="0"/>
              <w:spacing w:line="280" w:lineRule="exact" w:after="20" w:before="20"/>
              <w:jc w:val="center"/>
            </w:pPr>
            <w:r>
              <w:rPr>
                <w:sz w:val="20"/>
              </w:rPr>
              <w:t>US10</w:t>
            </w:r>
          </w:p>
        </w:tc>
        <w:tc>
          <w:tcPr>
            <w:tcW w:type="dxa" w:w="6696"/>
            <w:vAlign w:val="center"/>
            <w:tcMar>
              <w:top w:w="95" w:type="dxa"/>
              <w:bottom w:w="95" w:type="dxa"/>
              <w:left w:w="110" w:type="dxa"/>
              <w:right w:w="110" w:type="dxa"/>
            </w:tcMar>
            <w:shd w:fill="F6F8FA"/>
          </w:tcPr>
          <w:p>
            <w:pPr>
              <w:keepNext w:val="0"/>
              <w:spacing w:line="280" w:lineRule="exact" w:after="20" w:before="20"/>
            </w:pPr>
            <w:r>
              <w:rPr>
                <w:sz w:val="20"/>
              </w:rPr>
              <w:t>改写正文后辨认哪些摘要或事实需要重新核查</w:t>
            </w:r>
          </w:p>
        </w:tc>
        <w:tc>
          <w:tcPr>
            <w:tcW w:type="dxa" w:w="2304"/>
            <w:vAlign w:val="center"/>
            <w:tcMar>
              <w:top w:w="95" w:type="dxa"/>
              <w:bottom w:w="95" w:type="dxa"/>
              <w:left w:w="110" w:type="dxa"/>
              <w:right w:w="110" w:type="dxa"/>
            </w:tcMar>
            <w:shd w:fill="F6F8FA"/>
          </w:tcPr>
          <w:p>
            <w:pPr>
              <w:keepNext w:val="0"/>
              <w:spacing w:line="280" w:lineRule="exact" w:after="20" w:before="20"/>
            </w:pPr>
            <w:r>
              <w:rPr>
                <w:sz w:val="20"/>
              </w:rPr>
              <w:t>N07</w:t>
            </w:r>
          </w:p>
        </w:tc>
      </w:tr>
    </w:tbl>
    <w:p>
      <w:pPr>
        <w:spacing w:after="60" w:before="0" w:line="60" w:lineRule="exact"/>
      </w:pPr>
      <w:r>
        <w:rPr>
          <w:sz w:val="6"/>
        </w:rPr>
      </w:r>
    </w:p>
    <w:p>
      <w:pPr>
        <w:pStyle w:val="Heading2"/>
      </w:pPr>
      <w:r>
        <w:t>2.2 基础平台流程</w:t>
      </w:r>
    </w:p>
    <w:p>
      <w:r>
        <w:t>用户创建“学习计划”项目，添加两份文件和一个网页链接，建立一篇笔记并安排三项任务。资料可以同时关联其他项目，不因关联而重复复制。首页显示待办与最近编辑，搜索能跳到笔记和资料详情。完成后归档项目；归档仍可搜索和恢复为进行中。用户将数据导出为完整备份，清空测试环境后恢复，项目、附件、笔记和任务关联一致。</w:t>
      </w:r>
    </w:p>
    <w:p>
      <w:pPr>
        <w:pStyle w:val="Heading2"/>
      </w:pPr>
      <w:r>
        <w:t>2.3 小说模块流程</w:t>
      </w:r>
    </w:p>
    <w:p>
      <w:r>
        <w:t>用户启用墨稿，在平台项目中创建关联作品，设置简介与创作目标，添加人物、世界观及大纲，建立章节并写作。正文保存成功后可手动导出或建立版本。配置 AI 后可选择上下文并请求续写，候选在独立区域显示，采用时检查版本并保存。摘要与事实整理在保存之后执行，失败时保留正文并提供重试。</w:t>
      </w:r>
    </w:p>
    <w:p>
      <w:r>
        <w:t>停用墨稿前先处理未保存稿件和正在执行的任务。停用后小说入口隐藏，平台项目显示保留的模块内容关联；重新启用后继续编辑。基础平台搜索可显示小说标题与停用提示，章节正文仅在模块启用时参与索引。</w:t>
      </w:r>
    </w:p>
    <w:p>
      <w:bookmarkStart w:id="3" w:name="chapter_3"/>
      <w:pPr>
        <w:pStyle w:val="Heading1"/>
      </w:pPr>
      <w:r>
        <w:t>3 基础平台功能要求</w:t>
      </w:r>
      <w:bookmarkEnd w:id="3"/>
    </w:p>
    <w:p>
      <w:r>
        <w:t>所有 B 类功能都是基础版交付范围，开发顺序由第 12 节决定。基础版验收不能只检查页面存在，必须覆盖创建、修改、持久化、异常和恢复。</w:t>
      </w:r>
    </w:p>
    <w:p>
      <w:pPr>
        <w:pStyle w:val="Heading2"/>
      </w:pPr>
      <w:r>
        <w:t>3.1 B01 首页工作台</w:t>
      </w:r>
    </w:p>
    <w:p>
      <w:r>
        <w:t>显示最近访问项目、最近编辑笔记、今日与逾期任务、固定模块入口。支持快捷创建项目、笔记、任务，支持调整这些区域顺序和显隐。初次打开显示简洁使用引导。再次启动恢复上次有效页面；目标被删除或模块停用时回到首页并说明原因。待办提醒只在应用内呈现，首版不承诺退出软件后的提醒。</w:t>
      </w:r>
    </w:p>
    <w:p>
      <w:pPr>
        <w:pStyle w:val="Heading2"/>
      </w:pPr>
      <w:r>
        <w:t>3.2 B02 项目管理</w:t>
      </w:r>
    </w:p>
    <w:p>
      <w:r>
        <w:t>项目具有名称、描述、可选封面、标签、收藏状态和进行中或已归档状态。支持列表与卡片切换、按更新时间排序、关键字筛选、创建、修改、归档、恢复和移入回收站。名称必填且去除首尾空格；同名项目允许存在，以稳定 ID 区分。一个项目可关联多份资料、多篇笔记和多项任务。</w:t>
      </w:r>
    </w:p>
    <w:p>
      <w:r>
        <w:t>项目删除先软删除项目并隐藏其关联，不删除共享资料。恢复项目同时恢复原关联。永久删除项目会清理关联记录，并把其任务转为独立任务；小说作品与项目绑定关系解除后仍保留在墨稿书架，界面提前列出影响。每个作品最多关联一个平台项目，一个平台项目可关联多个作品。</w:t>
      </w:r>
    </w:p>
    <w:p>
      <w:pPr>
        <w:pStyle w:val="Heading2"/>
      </w:pPr>
      <w:r>
        <w:t>3.3 B03 资料管理</w:t>
      </w:r>
    </w:p>
    <w:p>
      <w:r>
        <w:t>统一管理文件、链接和笔记，支持资料文件夹、标签、收藏、排序、筛选、移动、重命名、来源说明及关联项目。文件夹首版只管理资料，不负责平台项目层级。</w:t>
      </w:r>
    </w:p>
    <w:p>
      <w:r>
        <w:t>文件通过选择或拖入添加，默认复制到应用管理的附件目录，记录原文件名、MIME 类型、大小和内容校验值。复制失败不创建“导入成功”的资料。去重按内容校验值识别：可复用附件字节，但保留用户独立的资料记录。删除一份资料不能移除其他记录仍引用的附件。首版文件大小上限为每份 100 MB，超限明确提示；附件按元数据和文件副本管理。</w:t>
      </w:r>
    </w:p>
    <w:p>
      <w:r>
        <w:t>链接保存名称、URL 和说明，只接受 http 或 https，打开时使用系统浏览器；首版不自动抓取网页。文件预览支持纯文本、常见图片以及下面的文档与表格阅读，其他格式提供系统打开及导出副本。预览失败不影响资料记录。移动文件夹不能形成循环引用，删除文件夹应让用户选择移动内容或连同内容进入回收站。</w:t>
      </w:r>
    </w:p>
    <w:p>
      <w:pPr>
        <w:pStyle w:val="Heading3"/>
      </w:pPr>
      <w:r>
        <w:t>B03 文档与表格通用能力</w:t>
      </w:r>
    </w:p>
    <w:p>
      <w:pPr/>
      <w:r>
        <w:t>2026-10-11 按用户要求扩充基础范围。文档、表格的读取、编辑与结果归档属于不可停用的平台能力，供后续文档写作、数据收集及其他模块复用。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8"/>
        <w:gridCol w:w="8148"/>
      </w:tblGrid>
      <w:tr>
        <w:trPr>
          <w:tblHeader/>
        </w:trPr>
        <w:tc>
          <w:tcPr>
            <w:tcW w:type="dxa" w:w="1788"/>
            <w:shd w:fill="E7EDF0"/>
            <w:tcMar>
              <w:top w:w="90" w:type="dxa"/>
              <w:left w:w="90" w:type="dxa"/>
              <w:bottom w:w="90" w:type="dxa"/>
              <w:right w:w="90" w:type="dxa"/>
            </w:tcMar>
          </w:tcPr>
          <w:p>
            <w:pPr>
              <w:spacing w:after="0"/>
            </w:pPr>
            <w:r>
              <w:rPr>
                <w:b/>
                <w:color w:val="000000"/>
              </w:rPr>
              <w:t>子要求</w:t>
            </w:r>
          </w:p>
        </w:tc>
        <w:tc>
          <w:tcPr>
            <w:tcW w:type="dxa" w:w="8148"/>
            <w:shd w:fill="E7EDF0"/>
            <w:tcMar>
              <w:top w:w="90" w:type="dxa"/>
              <w:left w:w="90" w:type="dxa"/>
              <w:bottom w:w="90" w:type="dxa"/>
              <w:right w:w="90" w:type="dxa"/>
            </w:tcMar>
          </w:tcPr>
          <w:p>
            <w:pPr>
              <w:spacing w:after="0"/>
            </w:pPr>
            <w:r>
              <w:rPr>
                <w:b/>
                <w:color w:val="000000"/>
              </w:rPr>
              <w:t>必需行为</w:t>
            </w:r>
          </w:p>
        </w:tc>
      </w:tr>
      <w:tr>
        <w:tc>
          <w:tcPr>
            <w:tcW w:type="dxa" w:w="1788"/>
            <w:shd w:fill="FFFFFF"/>
            <w:tcMar>
              <w:top w:w="90" w:type="dxa"/>
              <w:left w:w="90" w:type="dxa"/>
              <w:bottom w:w="90" w:type="dxa"/>
              <w:right w:w="90" w:type="dxa"/>
            </w:tcMar>
          </w:tcPr>
          <w:p>
            <w:pPr>
              <w:spacing w:after="0"/>
            </w:pPr>
            <w:r>
              <w:rPr>
                <w:b w:val="0"/>
                <w:color w:val="000000"/>
              </w:rPr>
              <w:t>B03-D01</w:t>
            </w:r>
          </w:p>
        </w:tc>
        <w:tc>
          <w:tcPr>
            <w:tcW w:type="dxa" w:w="8148"/>
            <w:shd w:fill="FFFFFF"/>
            <w:tcMar>
              <w:top w:w="90" w:type="dxa"/>
              <w:left w:w="90" w:type="dxa"/>
              <w:bottom w:w="90" w:type="dxa"/>
              <w:right w:w="90" w:type="dxa"/>
            </w:tcMar>
          </w:tcPr>
          <w:p>
            <w:pPr>
              <w:spacing w:after="0"/>
            </w:pPr>
            <w:r>
              <w:rPr>
                <w:b w:val="0"/>
                <w:color w:val="000000"/>
              </w:rPr>
              <w:t>导入 UTF-8 MD/Markdown，应用内展示标题、段落、列表、代码与表格；原始 HTML 作为文字，不自动执行或加载外部内容</w:t>
            </w:r>
          </w:p>
        </w:tc>
      </w:tr>
      <w:tr>
        <w:tc>
          <w:tcPr>
            <w:tcW w:type="dxa" w:w="1788"/>
            <w:shd w:fill="F6F8F9"/>
            <w:tcMar>
              <w:top w:w="90" w:type="dxa"/>
              <w:left w:w="90" w:type="dxa"/>
              <w:bottom w:w="90" w:type="dxa"/>
              <w:right w:w="90" w:type="dxa"/>
            </w:tcMar>
          </w:tcPr>
          <w:p>
            <w:pPr>
              <w:spacing w:after="0"/>
            </w:pPr>
            <w:r>
              <w:rPr>
                <w:b w:val="0"/>
                <w:color w:val="000000"/>
              </w:rPr>
              <w:t>B03-D02</w:t>
            </w:r>
          </w:p>
        </w:tc>
        <w:tc>
          <w:tcPr>
            <w:tcW w:type="dxa" w:w="8148"/>
            <w:shd w:fill="F6F8F9"/>
            <w:tcMar>
              <w:top w:w="90" w:type="dxa"/>
              <w:left w:w="90" w:type="dxa"/>
              <w:bottom w:w="90" w:type="dxa"/>
              <w:right w:w="90" w:type="dxa"/>
            </w:tcMar>
          </w:tcPr>
          <w:p>
            <w:pPr>
              <w:spacing w:after="0"/>
            </w:pPr>
            <w:r>
              <w:rPr>
                <w:b w:val="0"/>
                <w:color w:val="000000"/>
              </w:rPr>
              <w:t>读取 DOCX 的正文段落、标题与表格，分页展示并保留原文件；明确告知未还原的 Office 格式</w:t>
            </w:r>
          </w:p>
        </w:tc>
      </w:tr>
      <w:tr>
        <w:tc>
          <w:tcPr>
            <w:tcW w:type="dxa" w:w="1788"/>
            <w:shd w:fill="FFFFFF"/>
            <w:tcMar>
              <w:top w:w="90" w:type="dxa"/>
              <w:left w:w="90" w:type="dxa"/>
              <w:bottom w:w="90" w:type="dxa"/>
              <w:right w:w="90" w:type="dxa"/>
            </w:tcMar>
          </w:tcPr>
          <w:p>
            <w:pPr>
              <w:spacing w:after="0"/>
            </w:pPr>
            <w:r>
              <w:rPr>
                <w:b w:val="0"/>
                <w:color w:val="000000"/>
              </w:rPr>
              <w:t>B03-D03</w:t>
            </w:r>
          </w:p>
        </w:tc>
        <w:tc>
          <w:tcPr>
            <w:tcW w:type="dxa" w:w="8148"/>
            <w:shd w:fill="FFFFFF"/>
            <w:tcMar>
              <w:top w:w="90" w:type="dxa"/>
              <w:left w:w="90" w:type="dxa"/>
              <w:bottom w:w="90" w:type="dxa"/>
              <w:right w:w="90" w:type="dxa"/>
            </w:tcMar>
          </w:tcPr>
          <w:p>
            <w:pPr>
              <w:spacing w:after="0"/>
            </w:pPr>
            <w:r>
              <w:rPr>
                <w:b w:val="0"/>
                <w:color w:val="000000"/>
              </w:rPr>
              <w:t>读取 XLSX 多工作表、单元格、日期、错误值、公式文本及文件内缓存结果；保留行列位置，行列分页，未缓存结果可辨认；不执行宏、公式或外部连接</w:t>
            </w:r>
          </w:p>
        </w:tc>
      </w:tr>
      <w:tr>
        <w:tc>
          <w:tcPr>
            <w:tcW w:type="dxa" w:w="1788"/>
            <w:shd w:fill="F6F8F9"/>
            <w:tcMar>
              <w:top w:w="90" w:type="dxa"/>
              <w:left w:w="90" w:type="dxa"/>
              <w:bottom w:w="90" w:type="dxa"/>
              <w:right w:w="90" w:type="dxa"/>
            </w:tcMar>
          </w:tcPr>
          <w:p>
            <w:pPr>
              <w:spacing w:after="0"/>
            </w:pPr>
            <w:r>
              <w:rPr>
                <w:b w:val="0"/>
                <w:color w:val="000000"/>
              </w:rPr>
              <w:t>B03-D04</w:t>
            </w:r>
          </w:p>
        </w:tc>
        <w:tc>
          <w:tcPr>
            <w:tcW w:type="dxa" w:w="8148"/>
            <w:shd w:fill="F6F8F9"/>
            <w:tcMar>
              <w:top w:w="90" w:type="dxa"/>
              <w:left w:w="90" w:type="dxa"/>
              <w:bottom w:w="90" w:type="dxa"/>
              <w:right w:w="90" w:type="dxa"/>
            </w:tcMar>
          </w:tcPr>
          <w:p>
            <w:pPr>
              <w:spacing w:after="0"/>
            </w:pPr>
            <w:r>
              <w:rPr>
                <w:b w:val="0"/>
                <w:color w:val="000000"/>
              </w:rPr>
              <w:t>读取 UTF-8 CSV/TSV 表格，保留首行、空值、引号内分隔符与换行，采集文字不被自动当成公式</w:t>
            </w:r>
          </w:p>
        </w:tc>
      </w:tr>
      <w:tr>
        <w:tc>
          <w:tcPr>
            <w:tcW w:type="dxa" w:w="1788"/>
            <w:shd w:fill="FFFFFF"/>
            <w:tcMar>
              <w:top w:w="90" w:type="dxa"/>
              <w:left w:w="90" w:type="dxa"/>
              <w:bottom w:w="90" w:type="dxa"/>
              <w:right w:w="90" w:type="dxa"/>
            </w:tcMar>
          </w:tcPr>
          <w:p>
            <w:pPr>
              <w:spacing w:after="0"/>
            </w:pPr>
            <w:r>
              <w:rPr>
                <w:b w:val="0"/>
                <w:color w:val="000000"/>
              </w:rPr>
              <w:t>B03-D05</w:t>
            </w:r>
          </w:p>
        </w:tc>
        <w:tc>
          <w:tcPr>
            <w:tcW w:type="dxa" w:w="8148"/>
            <w:shd w:fill="FFFFFF"/>
            <w:tcMar>
              <w:top w:w="90" w:type="dxa"/>
              <w:left w:w="90" w:type="dxa"/>
              <w:bottom w:w="90" w:type="dxa"/>
              <w:right w:w="90" w:type="dxa"/>
            </w:tcMar>
          </w:tcPr>
          <w:p>
            <w:pPr>
              <w:spacing w:after="0"/>
            </w:pPr>
            <w:r>
              <w:rPr>
                <w:b w:val="0"/>
                <w:color w:val="000000"/>
              </w:rPr>
              <w:t>内置模块通过 Rust 平台接口发布生成文件及来源、说明、文件夹和项目关联；统一托管、哈希、导出与共享，不自行存储另一套附件</w:t>
            </w:r>
          </w:p>
        </w:tc>
      </w:tr>
      <w:tr>
        <w:tc>
          <w:tcPr>
            <w:tcW w:type="dxa" w:w="1788"/>
            <w:shd w:fill="FFFFFF"/>
            <w:tcMar>
              <w:top w:w="90" w:type="dxa"/>
              <w:left w:w="90" w:type="dxa"/>
              <w:bottom w:w="90" w:type="dxa"/>
              <w:right w:w="90" w:type="dxa"/>
            </w:tcMar>
          </w:tcPr>
          <w:p>
            <w:r>
              <w:t>B03-D06</w:t>
            </w:r>
          </w:p>
        </w:tc>
        <w:tc>
          <w:tcPr>
            <w:tcW w:type="dxa" w:w="8148"/>
            <w:shd w:fill="FFFFFF"/>
            <w:tcMar>
              <w:top w:w="90" w:type="dxa"/>
              <w:left w:w="90" w:type="dxa"/>
              <w:bottom w:w="90" w:type="dxa"/>
              <w:right w:w="90" w:type="dxa"/>
            </w:tcMar>
          </w:tcPr>
          <w:p>
            <w:r>
              <w:t>新建和编辑 Markdown，持久恢复草稿、版本校验、完整历史导出与恢复</w:t>
            </w:r>
          </w:p>
        </w:tc>
      </w:tr>
      <w:tr>
        <w:tc>
          <w:tcPr>
            <w:tcW w:type="dxa" w:w="1788"/>
            <w:shd w:fill="FFFFFF"/>
            <w:tcMar>
              <w:top w:w="90" w:type="dxa"/>
              <w:left w:w="90" w:type="dxa"/>
              <w:bottom w:w="90" w:type="dxa"/>
              <w:right w:w="90" w:type="dxa"/>
            </w:tcMar>
          </w:tcPr>
          <w:p>
            <w:r>
              <w:t>B03-D07</w:t>
            </w:r>
          </w:p>
        </w:tc>
        <w:tc>
          <w:tcPr>
            <w:tcW w:type="dxa" w:w="8148"/>
            <w:shd w:fill="FFFFFF"/>
            <w:tcMar>
              <w:top w:w="90" w:type="dxa"/>
              <w:left w:w="90" w:type="dxa"/>
              <w:bottom w:w="90" w:type="dxa"/>
              <w:right w:w="90" w:type="dxa"/>
            </w:tcMar>
          </w:tcPr>
          <w:p>
            <w:r>
              <w:t>Word/Excel 接入本机 Office 完整编辑副本，保存关闭后提交，图片、复杂排版、合并、图表与重算由所选应用处理</w:t>
            </w:r>
          </w:p>
        </w:tc>
      </w:tr>
    </w:tbl>
    <w:p>
      <w:pPr/>
      <w:r>
        <w:t>2026-10-11 用户进一步要求所有文档可编辑，并选择接近 Office 的完整能力。Markdown 在墨枢内编辑与预览；Word/Excel 使用已安装的本机 Office 编辑器，墨枢托管编辑副本、提交校验及完整文件历史。复杂格式的兼容性取决于所选编辑器；当前没有在 WebView 内嵌完整 Office 界面。无需编辑器仍可使用 Markdown 编辑与文档阅读；Office 编辑需要本机对应应用，不随墨枢安装包交付 Office 引擎。</w:t>
      </w:r>
    </w:p>
    <w:p>
      <w:pPr/>
      <w:r>
        <w:t>Word/Excel 流程为打开编辑副本 → 在 Office 保存并关闭文档 → 返回墨枢提交；公式重算由 Office 完成。DOC/XLS 也可通过系统关联编辑并原格式提交，平台不做二进制内容预览。新建支持 MD/DOCX/XLSX/CSV/TSV。恢复草稿和编辑会话重启后可继续，不能自动覆盖较新资料；冲突可另存独立副本。提交与恢复均建立历史版本，任何共享原件仍保持不变。平台接口也能接收模块生成字节，采集任务与 AI 写作仍由后续模块实现。</w:t>
      </w:r>
    </w:p>
    <w:p>
      <w:pPr/>
      <w:r>
        <w:t>文件托管仍限 100 MiB；文档读取与生成结果发布限 20 MiB，Office 单个 ZIP 项展开限 16 MiB、总展开限 64 MiB、最多 4096 项。单元格文字限 32 KiB，工作表最多 100 张，每次读取的表格最多 200000 个单元格；DOCX 最多 20000 个正文块、单表 5000 单元格。超限、损坏或加密时明确提示并保留原文件。视图绑定资料 ID、revision 与托管哈希；失败和过期结果不得覆盖新视图。Office 编辑副本与提交沿用文件 100 MiB 上限，DOCX/XLSX 主文档部分限 16 MiB；另存独立副本通过生成接口，限 20 MiB。超限副本留在编辑会话中，可用 Office 另存到外部目录。</w:t>
      </w:r>
    </w:p>
    <w:p>
      <w:pPr>
        <w:pStyle w:val="Heading2"/>
      </w:pPr>
      <w:r>
        <w:t>3.4 B04 轻量笔记</w:t>
      </w:r>
    </w:p>
    <w:p>
      <w:r>
        <w:t>提供标题、正文、标签、收藏和项目关联。基础排版包含标题、段落、粗体、列表、引用、链接及撤销重做。以编辑器结构化 JSON 保存，维护纯文本索引用于搜索；导出 TXT 与 Markdown。格式转换限制应明确显示。</w:t>
      </w:r>
    </w:p>
    <w:p>
      <w:r>
        <w:t>停止输入 1 秒触发保存，持续输入时每 5 秒尝试保存当前快照；显示未保存、保存中、已保存、失败和冲突。“已保存”只在持久化成功后出现。离开页面及正常退出前冲刷待保存内容，失败时保留恢复草稿并提供重试或明确放弃。手动保存建立可恢复版本，自动保存不无限新增版本。</w:t>
      </w:r>
    </w:p>
    <w:p>
      <w:pPr>
        <w:pStyle w:val="Heading2"/>
      </w:pPr>
      <w:r>
        <w:t>3.5 B05 任务管理</w:t>
      </w:r>
    </w:p>
    <w:p>
      <w:r>
        <w:t>任务包含标题、说明、未开始或进行中或已完成状态、低中高优先级、可选截止日期、可选项目关联。支持创建、编辑、完成、重新打开、删除、按状态和日期筛选；提供全部、今日、逾期和已完成视图。截止日期是本地日历日期，完成状态与逾期状态分别计算。首版无重复任务、子任务和复杂依赖。</w:t>
      </w:r>
    </w:p>
    <w:p>
      <w:pPr>
        <w:pStyle w:val="Heading2"/>
      </w:pPr>
      <w:r>
        <w:t>3.6 B06 全局搜索</w:t>
      </w:r>
    </w:p>
    <w:p>
      <w:r>
        <w:t>搜索项目名称与描述、资料名称与说明、链接 URL、笔记正文、任务标题与说明。按类型、项目和标签过滤，分页展示、标明命中来源，点击进入对应页面。文件附件首版搜索元数据，不搜索任意二进制正文。结果来自本地索引，不要求 AI。</w:t>
      </w:r>
    </w:p>
    <w:p>
      <w:r>
        <w:t>中文采用可验证的规范化子串匹配作为必需基线；文本过长时分页并移出界面线程。不得仅使用默认英文分词并声称中文检索完成。后续可引入中文索引，但必须维持相同查询语义。业务数据先保存，索引异步更新；索引可从原数据重建，失败显示状态并允许修复。</w:t>
      </w:r>
    </w:p>
    <w:p>
      <w:pPr>
        <w:pStyle w:val="Heading2"/>
      </w:pPr>
      <w:r>
        <w:t>3.7 B07 模块中心</w:t>
      </w:r>
    </w:p>
    <w:p>
      <w:r>
        <w:t>列出随应用交付的模块及说明、版本、所需平台 API 版本、启用状态、数据占用和异常。支持启用、停用、打开模块、查看功能说明。未交付的后续模块不显示为可用按钮。第一版不提供动态下载安装或删除模块代码。</w:t>
      </w:r>
    </w:p>
    <w:p>
      <w:r>
        <w:t>停用操作要求模块保存待编辑内容、停止本模块任务并注销导航和搜索入口；保存失败时停用失败，用户可重试或明确放弃。保留模块数据，重新启用后恢复。平台基础功能不显示在可停用模块列表。模块初始化失败只使该模块不可用，其他页面继续工作。</w:t>
      </w:r>
    </w:p>
    <w:p>
      <w:pPr>
        <w:pStyle w:val="Heading2"/>
      </w:pPr>
      <w:r>
        <w:t>3.8 B08 外观与个人设置</w:t>
      </w:r>
    </w:p>
    <w:p>
      <w:r>
        <w:t>支持浅色、深色和跟随系统主题，字号调整，本地昵称与可选头像，导航顺序、固定入口、首页偏好、快捷键查看及冲突检查。快捷键采用语义动作，macOS 使用 Command，Windows 使用 Ctrl；编辑器内的撤销重做优先交给编辑器。</w:t>
      </w:r>
    </w:p>
    <w:p>
      <w:r>
        <w:t>设置立即持久化，重启仍生效。恢复默认设置只影响偏好；界面明确列出影响，不删除项目和内容。数据页显示实际存储位置与容量并允许打开目录。首版使用系统应用数据目录，数据迁移通过备份恢复进行，暂不提供任意移动正在使用的数据目录。</w:t>
      </w:r>
    </w:p>
    <w:p>
      <w:pPr>
        <w:pStyle w:val="Heading2"/>
      </w:pPr>
      <w:r>
        <w:t>3.9 B09 回收站与备份恢复</w:t>
      </w:r>
    </w:p>
    <w:p>
      <w:r>
        <w:t>项目、资料、笔记、任务、作品与章节采用软删除，显示类型、名称和删除时间，支持恢复和永久删除。默认不自动清空回收站。永久删除前显示依赖影响，附件仅在没有剩余引用时清理，未确定关联状态时不清理。</w:t>
      </w:r>
    </w:p>
    <w:p>
      <w:r>
        <w:t>提供手动完整备份和每天首次成功启动后的本地自动备份，自动保留最近 7 个成功版本；失败不替代上一份成功备份。备份包含数据库一致性快照、附件、内容版本、模块数据和普通设置，排除 API 密钥、登录凭据及诊断日志。本地备份与原数据在同一设备，界面提示用户可复制到外部位置。</w:t>
      </w:r>
    </w:p>
    <w:p>
      <w:r>
        <w:t>恢复前校验格式版本、校验值和附件清单，显示内容统计并先备份现有空间。首版恢复采用完整替换，不做自动合并；在临时目录验证后切换，失败时恢复原目录。恢复任务会阻止写入并关闭编辑会话，不能边恢复边继续写稿。详情见第 8 节。</w:t>
      </w:r>
    </w:p>
    <w:p>
      <w:pPr>
        <w:pStyle w:val="Heading2"/>
      </w:pPr>
      <w:r>
        <w:t>3.10 B10 帮助与运行状态</w:t>
      </w:r>
    </w:p>
    <w:p>
      <w:r>
        <w:t>提供首次引导、各功能简要说明、快捷键列表、版本与数据格式版本、最近任务状态和错误重试入口。导出诊断只包含应用版本、系统类型、错误编号及已脱敏技术信息；正文、绝对用户文件路径与密钥不进入默认诊断。加载失败有说明、重试和返回入口，不能静默出现白屏。</w:t>
      </w:r>
    </w:p>
    <w:p>
      <w:r>
        <w:t>导入、导出、备份和分析等长任务具有进度、取消和完成结果。取消在安全点生效；取消后已提交的内容保留，未提交的临时文件清理。应用异常退出后的未完成任务标记为中断，由用户选择重试。</w:t>
      </w:r>
    </w:p>
    <w:p>
      <w:bookmarkStart w:id="4" w:name="chapter_4"/>
      <w:pPr>
        <w:pStyle w:val="Heading1"/>
      </w:pPr>
      <w:r>
        <w:t>4 墨稿小说模块重写要求</w:t>
      </w:r>
      <w:bookmarkEnd w:id="4"/>
    </w:p>
    <w:p>
      <w:r>
        <w:t>墨稿是墨枢内置的第一个业务模块。本模块独立编写小说领域模型和服务，不适配旧墨稿服务端，不共享旧数据库，不迁移登录、收费和社区系统。既有项目用于理解领域规则和风险，旧项目保持独立。</w:t>
      </w:r>
    </w:p>
    <w:p>
      <w:pPr/>
      <w:r>
        <w:t>需要读取或编辑参考文档、展示生成表格时复用平台 B03 的文档/表格服务与文件版本，不在小说模块重复实现解析或 Office 编辑器。平台通用编辑与结果归档不改变 N01–N08 的创作范围；章节编辑和小说导出仍按本模块验收。</w:t>
      </w:r>
    </w:p>
    <w:p>
      <w:pPr>
        <w:pStyle w:val="Heading2"/>
      </w:pPr>
      <w:r>
        <w:t>4.1 N01 作品与章节组织</w:t>
      </w:r>
    </w:p>
    <w:p>
      <w:r>
        <w:t>书架支持创建、编辑、收藏、归档、软删除作品，字段包含作品名称、简介、创作目标、类型和可选封面。作品可独立存在，也可关联平台项目。支持卷和章节的有序树、新增、重命名、移动、排序及删除；排序写入事务，稳定 ID 不随标题变化。章节状态为草稿、修改中、定稿，字数口径在界面说明。恢复章节保留版本；关联大纲仍存在时恢复其关联。</w:t>
      </w:r>
    </w:p>
    <w:p>
      <w:r>
        <w:t>首版以长篇多章节为主，短篇可使用单章节作品。独立短篇生成流程、平台预设和复杂短篇评分安排到后续版本。</w:t>
      </w:r>
    </w:p>
    <w:p>
      <w:pPr>
        <w:pStyle w:val="Heading2"/>
      </w:pPr>
      <w:r>
        <w:t>4.2 N02 正文编辑与版本</w:t>
      </w:r>
    </w:p>
    <w:p>
      <w:r>
        <w:t>编辑器支持基础富文本、撤销重做、段落查找、字数统计、专注模式和可调整行距；章节正文保存为 Tiptap JSON，纯文本作为搜索和模型输入投影，HTML 仅在导出或展示时生成。格式 schemaVersion 随正文记录保存。</w:t>
      </w:r>
    </w:p>
    <w:p>
      <w:r>
        <w:t>复用 B04 的保存状态规则与持久化边界。正常退出、切章、停用模块和导出前都冲刷编辑稿；失败不得假称成功。保存携带 baseRevision，Rust 事务检查当前 revision 后写入，成功返回新 revision。冲突时保留本地稿及数据库稿供对照，不静默覆盖。首版采用单实例和单章节编辑会话，不实现协同合并算法。</w:t>
      </w:r>
    </w:p>
    <w:p>
      <w:r>
        <w:t>手动建立版本、采用 AI 前、恢复旧版前均建立快照。恢复历史作为新的当前 revision，历史快照保留。已有保存回执期间的新输入不得被旧回执标成已保存。对崩溃可恢复草稿给出最后恢复时间；成功保存后清理相同版本的冗余草稿。</w:t>
      </w:r>
    </w:p>
    <w:p>
      <w:pPr>
        <w:pStyle w:val="Heading2"/>
      </w:pPr>
      <w:r>
        <w:t>4.3 N03 创作设定</w:t>
      </w:r>
    </w:p>
    <w:p>
      <w:r>
        <w:t>提供人物档案、世界观条目和大纲。人物首版包含名称、别名、描述、目标、关系说明与作者固定设定；世界观包含分类、标题和正文；大纲是可排序的树，节点可关联章节。字段均可手动维护、软删除、搜索，并可引用平台资料。关系首版以结构化关联与文字说明呈现，不建立专用图谱界面。</w:t>
      </w:r>
    </w:p>
    <w:p>
      <w:r>
        <w:t>必须区分“计划发生的内容”和“已保存正文实际发生的内容”。大纲内容属于计划，不因与章节关联就自动成为事实。人物和世界观的修改会递增设定版本，用于检查 AI 候选有效性。</w:t>
      </w:r>
    </w:p>
    <w:p>
      <w:pPr>
        <w:pStyle w:val="Heading2"/>
      </w:pPr>
      <w:r>
        <w:t>4.4 N04 小说导入导出</w:t>
      </w:r>
    </w:p>
    <w:p>
      <w:r>
        <w:t>支持 UTF-8 TXT 小说导入，预览章节识别结果后确认，可手工调整分章；单文件上限 20 MB，超限明确提示。编码或章节识别失败时不创建半份作品。确认导入在本模块整体事务中完成，失败回滚。</w:t>
      </w:r>
    </w:p>
    <w:p>
      <w:r>
        <w:t>导出作品或指定章节为 TXT 和 Markdown，保留顺序与标题，并支持模块结构化备份。平台完整备份包含墨稿全部数据及其资料关联。首版不支持旧 .mgao、旧数据库或旧备份格式；需要历史内容时由用户导出 TXT 后按普通小说导入。DOCX 小说导出作为后续独立需求。</w:t>
      </w:r>
    </w:p>
    <w:p>
      <w:pPr>
        <w:pStyle w:val="Heading2"/>
      </w:pPr>
      <w:r>
        <w:t>4.5 N05 可选 AI 创作辅助</w:t>
      </w:r>
    </w:p>
    <w:p>
      <w:r>
        <w:t>首版提供续写、选段润色与大纲草案三个入口。请求前选择人物、世界观、大纲、实际章节片段和用户指令，显示上下文清单与预计范围。返回内容进入候选区，用户可复制、插入或替换指定选区；候选被拒绝后不改变正文。所有模型请求经 Rust AI 服务发起，UI 不直接连接提供商。</w:t>
      </w:r>
    </w:p>
    <w:p>
      <w:r>
        <w:t>提供一个经过真实接口验证的 OpenAI 兼容连接适配器，允许设置服务地址、模型和 API 密钥；“兼容”需按具体服务测试，不能宣称所有提供商都适用。无密钥时操作引导到设置；网络失败不锁住编辑器，取消保留已接收候选片段并标记未完成，禁止默认采用。</w:t>
      </w:r>
    </w:p>
    <w:p>
      <w:pPr>
        <w:pStyle w:val="Heading2"/>
      </w:pPr>
      <w:r>
        <w:t>4.6 N06 候选采用与版本检查</w:t>
      </w:r>
    </w:p>
    <w:p>
      <w:r>
        <w:t>候选保存 requestId、workId、chapterId、baseRevision、settingsRevision、操作类型及目标选区摘要。切换作品或章节时取消旧请求，迟到结果只能归入原请求，不可进入新章。</w:t>
      </w:r>
    </w:p>
    <w:p>
      <w:r>
        <w:t>采用时在 Rust 层校验正文版本、设定版本与目标选区。任一不一致即拒绝自动替换，允许用户对照、复制或重新生成。采用成功要在一个事务中完成版本快照、正文更新和候选 adopted 标记。重复点击同一候选不能重复插入。UI 用候选 ID 控制重复采用；后端以候选状态保证幂等。</w:t>
      </w:r>
    </w:p>
    <w:p>
      <w:pPr>
        <w:pStyle w:val="Heading2"/>
      </w:pPr>
      <w:r>
        <w:t>4.7 N07 来源与派生内容</w:t>
      </w:r>
    </w:p>
    <w:p>
      <w:r>
        <w:t>按用户主动选择，为已保存正文生成实际摘要、人物经历候选和全书事实候选。首版全部候选需作者确认；自动批量提取、自动同步事实和全书质量评分延后。先可靠保存正文，再运行派生任务，二者不在同一数据库事务中。</w:t>
      </w:r>
    </w:p>
    <w:p>
      <w:r>
        <w:t>每条派生内容记录来源章节、来源 revision、逐字引用、提取时间及 pending 或 confirmed 或 rejected 或 stale 状态。Rust 校验引用是否存在于指定正文版本；模型没有依据的条目只能作为建议，不能确认成正文事实。人物固定设定由作者维护，AI 建议需明确采用。</w:t>
      </w:r>
    </w:p>
    <w:p>
      <w:r>
        <w:t>正文改写、删除或历史恢复后，关联摘要、经历和事实标为 stale；大纲不因此被删除。检索和生成默认排除 stale 内容。每次重试绑定新 revision，结果提交前再次校验；错误不会撤销正文保存。confirmed 指作者确认，不等于客观真实性。</w:t>
      </w:r>
    </w:p>
    <w:p>
      <w:pPr>
        <w:pStyle w:val="Heading2"/>
      </w:pPr>
      <w:r>
        <w:t>4.8 N08 长篇上下文</w:t>
      </w:r>
    </w:p>
    <w:p>
      <w:r>
        <w:t>提供一个 Rust 上下文编译器，统一处理人工选择、截止章节、已确认设定、有效事实、当前正文和历史片段的排序、预算和裁剪。续写与润色共用编译器规则，同时允许各自的任务指令。计划与实际证据在模型输入中显式分区。</w:t>
      </w:r>
    </w:p>
    <w:p>
      <w:r>
        <w:t>历史片段首版使用本地关键词与用户固定片段，排除晚于截止章的章节，按篇章顺序保留来源。人物经历记录有效起始章，写早期章节时不注入未来经历。显示实际纳入与省略的条目；输入超过预算时先提示裁剪，不声称读取了全书。无需向量数据库，不自动上传整个资料库。</w:t>
      </w:r>
    </w:p>
    <w:p>
      <w:r>
        <w:t>后续 N09 候选包括分场与分层生成、人物对话演练、伏笔台账、统一问题台账、质量评审和独立短篇工作台。增加前先证明手动创作及候选采用流程可靠，不能以首版范围名义全部提前实现。</w:t>
      </w:r>
    </w:p>
    <w:p>
      <w:bookmarkStart w:id="5" w:name="chapter_5"/>
      <w:pPr>
        <w:pStyle w:val="Heading1"/>
      </w:pPr>
      <w:r>
        <w:t>5 技术方案与工程边界</w:t>
      </w:r>
      <w:bookmarkEnd w:id="5"/>
    </w:p>
    <w:p>
      <w:pPr>
        <w:pStyle w:val="Heading2"/>
      </w:pPr>
      <w:r>
        <w:t>5.1 选定技术栈</w:t>
      </w:r>
    </w:p>
    <w:p>
      <w:r>
        <w:t>核心语言选定 Rust；界面语言选定 TypeScript。二者按职责协作，采用 Tauri 2 桌面框架、React 与 Vite 界面、SQLite 本地数据库。首版重写全部业务实现，不要求沿用墨稿的 Electron、NestJS、MySQL 或原 TypeScript 业务代码。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5040"/>
      </w:tblGrid>
      <w:tr>
        <w:trPr>
          <w:tblHeader/>
          <w:cantSplit/>
        </w:trPr>
        <w:tc>
          <w:tcPr>
            <w:tcW w:type="dxa" w:w="1944"/>
            <w:vAlign w:val="center"/>
            <w:tcMar>
              <w:top w:w="95" w:type="dxa"/>
              <w:bottom w:w="95" w:type="dxa"/>
              <w:left w:w="110" w:type="dxa"/>
              <w:right w:w="110" w:type="dxa"/>
            </w:tcMar>
            <w:shd w:fill="DBE8F0"/>
          </w:tcPr>
          <w:p>
            <w:pPr>
              <w:keepNext w:val="0"/>
              <w:spacing w:line="280" w:lineRule="exact" w:after="20" w:before="20"/>
            </w:pPr>
            <w:r>
              <w:rPr>
                <w:b/>
                <w:sz w:val="20"/>
              </w:rPr>
              <w:t>层次</w:t>
            </w:r>
          </w:p>
        </w:tc>
        <w:tc>
          <w:tcPr>
            <w:tcW w:type="dxa" w:w="2952"/>
            <w:vAlign w:val="center"/>
            <w:tcMar>
              <w:top w:w="95" w:type="dxa"/>
              <w:bottom w:w="95" w:type="dxa"/>
              <w:left w:w="110" w:type="dxa"/>
              <w:right w:w="110" w:type="dxa"/>
            </w:tcMar>
            <w:shd w:fill="DBE8F0"/>
          </w:tcPr>
          <w:p>
            <w:pPr>
              <w:keepNext w:val="0"/>
              <w:spacing w:line="280" w:lineRule="exact" w:after="20" w:before="20"/>
            </w:pPr>
            <w:r>
              <w:rPr>
                <w:b/>
                <w:sz w:val="20"/>
              </w:rPr>
              <w:t>技术</w:t>
            </w:r>
          </w:p>
        </w:tc>
        <w:tc>
          <w:tcPr>
            <w:tcW w:type="dxa" w:w="5040"/>
            <w:vAlign w:val="center"/>
            <w:tcMar>
              <w:top w:w="95" w:type="dxa"/>
              <w:bottom w:w="95" w:type="dxa"/>
              <w:left w:w="110" w:type="dxa"/>
              <w:right w:w="110" w:type="dxa"/>
            </w:tcMar>
            <w:shd w:fill="DBE8F0"/>
          </w:tcPr>
          <w:p>
            <w:pPr>
              <w:keepNext w:val="0"/>
              <w:spacing w:line="280" w:lineRule="exact" w:after="20" w:before="20"/>
            </w:pPr>
            <w:r>
              <w:rPr>
                <w:b/>
                <w:sz w:val="20"/>
              </w:rPr>
              <w:t>职责</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桌面与平台核心</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Rust 与 Tauri 2</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窗口生命周期、命令边界、文件与数据库、备份、模块状态</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用户界面</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TypeScript 与 React</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页面、交互状态、编辑器、主题、可访问性</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开发构建</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Vite 与 npm</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本地前端开发、资源构建及依赖锁定</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数据访问</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rusqlite 与 SQLite</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参数化 SQL、事务、迁移、一致性快照</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富文本</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Tiptap 开源核心</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笔记及章节编辑，结构化 JSON 保存</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UI 样式</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Tailwind CSS 与语义设计变量</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统一颜色、字号、间距和组件状态</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AI 网络请求</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Rust reqwest</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超时、流式处理、取消、服务地址约束</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验证</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Rust 测试与 Vitest</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领域、数据与前端交互测试</w:t>
            </w:r>
          </w:p>
        </w:tc>
      </w:tr>
    </w:tbl>
    <w:p>
      <w:pPr>
        <w:spacing w:after="60" w:before="0" w:line="60" w:lineRule="exact"/>
      </w:pPr>
      <w:r>
        <w:rPr>
          <w:sz w:val="6"/>
        </w:rPr>
      </w:r>
    </w:p>
    <w:p>
      <w:r>
        <w:t>Tauri 使用系统 WebView 承载网页界面，并提供前端调用 Rust 命令的机制；具体技术依据见第 13 节。选择 Rust 核心是为了集中约束文件、事务、并发和外部调用；React 负责编辑器与复杂页面，降低界面开发成本。该选择是工程判断，不承诺仅换语言就能改善全部性能或可靠性。</w:t>
      </w:r>
    </w:p>
    <w:p>
      <w:r>
        <w:t>初始化时查询稳定版本与兼容要求，锁定 package-lock.json、Cargo.lock 和 rust-toolchain.toml；在决策记录中写下版本及选择日期。Tauri 2 为固定大版本，其他库不在本文硬编码补丁版本。禁止复制墨稿旧依赖版本后直接宣称新项目受支持。</w:t>
      </w:r>
    </w:p>
    <w:p>
      <w:r>
        <w:t>SQLite 通过 Rust 访问。前端不开放任意 SQL、不操作任意磁盘路径。rusqlite 阻塞操作放入专用数据库工作线程，通过有界请求队列串行处理；长 AI 请求不持有数据库事务或连接锁。首版一个 Rust crate，内部按目录划分领域，不提前拆成大量 crates 或微服务。</w:t>
      </w:r>
    </w:p>
    <w:p>
      <w:pPr>
        <w:pStyle w:val="Heading2"/>
      </w:pPr>
      <w:r>
        <w:t>5.2 分层与依赖方向</w:t>
      </w:r>
    </w:p>
    <w:p>
      <w:r>
        <w:t>界面层调用 contracts 中定义的应用命令；Rust command 层负责输入校验与结果序列化；应用服务编排领域规则；repository 和文件服务执行持久化。领域规则不依赖 React、Tauri 窗口或某个 AI 提供商。</w:t>
      </w:r>
    </w:p>
    <w:p>
      <w:r>
        <w:t>基础平台拥有项目、资料、笔记、任务、偏好、备份和模块注册。墨稿拥有作品、章节、创作设定、候选及来源规则。公共 AI 服务只处理连接、请求和结果，不包含人物、大纲或小说提示词。</w:t>
      </w:r>
    </w:p>
    <w:p>
      <w:pPr/>
      <w:r>
        <w:t>文档与表格读取也属于基础平台：Rust 校验托管原件后解析 MD、DOCX、XLSX、CSV/TSV，输出版本化文档块、工作表和行列页；React 共用 DocumentPreview，不持有原始文件路径或通用文件读取能力。解析在阻塞工作线程运行，不持有数据库事务；同一服务串行读取以控制峰值内存。Office 容器先检查路径、实际展开量和完整性，不解压到磁盘，不执行脚本、宏、公式或外部关系。</w:t>
      </w:r>
    </w:p>
    <w:p>
      <w:pPr/>
      <w:r>
        <w:t>内置模块把已经生成的文件字节、名称、来源和项目交给平台发布服务。模块负责写作或采集业务，平台负责资料生命周期与展示；同一原件可关联多个项目。当前阅读投影按请求生成，不作为 Office 编辑模型。Markdown 源文经 Rust 保存为独立草稿与文件版本；Word/Excel 使用本机编辑器处理完整文件，Rust 将工作副本与不可变附件分开，校验 baseRevision 后替换资料引用并建立历史。没有新增全文索引；以后新增检索投影时须明确来源版本与重建规则。</w:t>
      </w:r>
    </w:p>
    <w:p>
      <w:r>
        <w:t>模块通过平台公开服务创建关联、取资料、提供搜索投影和调用 AI。模块之间不能导入对方内部目录、直接访问对方数据表或共享可变全局状态。平台只按模块注册信息提供通用入口，不通过 switch(moduleId) 把小说规则散布到基础功能。</w:t>
      </w:r>
    </w:p>
    <w:p>
      <w:r>
        <w:t>内置模块属于共同信任的应用代码。Tauri capabilities 控制窗口与系统能力；同一个 WebView 内的模块标识不是安全身份，不能宣称它把恶意模块隔离。第三方模块沙箱属于未来单独设计的范围。</w:t>
      </w:r>
    </w:p>
    <w:p>
      <w:pPr>
        <w:pStyle w:val="Heading2"/>
      </w:pPr>
      <w:r>
        <w:t>5.3 建议目录结构</w:t>
      </w:r>
    </w:p>
    <w:p>
      <w:pPr>
        <w:pStyle w:val="CodeBody"/>
      </w:pPr>
      <w:r>
        <w:t>moshub/</w:t>
      </w:r>
    </w:p>
    <w:p>
      <w:pPr>
        <w:pStyle w:val="CodeBody"/>
      </w:pPr>
      <w:r>
        <w:t xml:space="preserve">  README.md</w:t>
      </w:r>
    </w:p>
    <w:p>
      <w:pPr>
        <w:pStyle w:val="CodeBody"/>
      </w:pPr>
      <w:r>
        <w:t xml:space="preserve">  AGENTS.md</w:t>
      </w:r>
    </w:p>
    <w:p>
      <w:pPr>
        <w:pStyle w:val="CodeBody"/>
      </w:pPr>
      <w:r>
        <w:t xml:space="preserve">  docs/</w:t>
      </w:r>
    </w:p>
    <w:p>
      <w:pPr>
        <w:pStyle w:val="CodeBody"/>
      </w:pPr>
      <w:r>
        <w:t xml:space="preserve">  src/</w:t>
      </w:r>
    </w:p>
    <w:p>
      <w:pPr>
        <w:pStyle w:val="CodeBody"/>
      </w:pPr>
      <w:r>
        <w:t xml:space="preserve">    app/                 导航与应用装配</w:t>
      </w:r>
    </w:p>
    <w:p>
      <w:pPr>
        <w:pStyle w:val="CodeBody"/>
      </w:pPr>
      <w:r>
        <w:t xml:space="preserve">    platform/            项目 资料 笔记 任务 设置</w:t>
      </w:r>
    </w:p>
    <w:p>
      <w:pPr>
        <w:pStyle w:val="CodeBody"/>
      </w:pPr>
      <w:r>
        <w:t xml:space="preserve">    modules/mogao/       小说页面与领域视图</w:t>
      </w:r>
    </w:p>
    <w:p>
      <w:pPr>
        <w:pStyle w:val="CodeBody"/>
      </w:pPr>
      <w:r>
        <w:t xml:space="preserve">    contracts/           命令数据结构与模块协议</w:t>
      </w:r>
    </w:p>
    <w:p>
      <w:pPr>
        <w:pStyle w:val="CodeBody"/>
      </w:pPr>
      <w:r>
        <w:t xml:space="preserve">    shared/ui/           公共视觉组件</w:t>
      </w:r>
    </w:p>
    <w:p>
      <w:pPr>
        <w:pStyle w:val="CodeBody"/>
      </w:pPr>
      <w:r>
        <w:t xml:space="preserve">    shared/editor/       编辑器基础与保存状态</w:t>
      </w:r>
    </w:p>
    <w:p>
      <w:pPr>
        <w:pStyle w:val="CodeBody"/>
      </w:pPr>
      <w:r>
        <w:t xml:space="preserve">    shared/lib/          纯工具函数</w:t>
      </w:r>
    </w:p>
    <w:p>
      <w:pPr>
        <w:pStyle w:val="CodeBody"/>
      </w:pPr>
      <w:r>
        <w:t xml:space="preserve">  src-tauri/</w:t>
      </w:r>
    </w:p>
    <w:p>
      <w:pPr>
        <w:pStyle w:val="CodeBody"/>
      </w:pPr>
      <w:r>
        <w:t xml:space="preserve">    src/</w:t>
      </w:r>
    </w:p>
    <w:p>
      <w:pPr>
        <w:pStyle w:val="CodeBody"/>
      </w:pPr>
      <w:r>
        <w:t xml:space="preserve">      commands/          Tauri 边界与输入校验</w:t>
      </w:r>
    </w:p>
    <w:p>
      <w:pPr>
        <w:pStyle w:val="CodeBody"/>
      </w:pPr>
      <w:r>
        <w:t xml:space="preserve">      platform/          基础领域与服务</w:t>
      </w:r>
    </w:p>
    <w:p>
      <w:pPr>
        <w:pStyle w:val="CodeBody"/>
      </w:pPr>
      <w:r>
        <w:t xml:space="preserve">      modules/mogao/     小说领域与服务</w:t>
      </w:r>
    </w:p>
    <w:p>
      <w:pPr>
        <w:pStyle w:val="CodeBody"/>
      </w:pPr>
      <w:r>
        <w:t xml:space="preserve">      infrastructure/    DB 文件 密钥 网络 备份</w:t>
      </w:r>
    </w:p>
    <w:p>
      <w:pPr>
        <w:pStyle w:val="CodeBody"/>
      </w:pPr>
      <w:r>
        <w:t xml:space="preserve">      contracts/         序列化请求与返回</w:t>
      </w:r>
    </w:p>
    <w:p>
      <w:pPr>
        <w:pStyle w:val="CodeBody"/>
      </w:pPr>
      <w:r>
        <w:t xml:space="preserve">    migrations/</w:t>
      </w:r>
    </w:p>
    <w:p>
      <w:pPr>
        <w:pStyle w:val="CodeBody"/>
      </w:pPr>
      <w:r>
        <w:t xml:space="preserve">    capabilities/</w:t>
      </w:r>
    </w:p>
    <w:p>
      <w:pPr>
        <w:pStyle w:val="CodeBody"/>
      </w:pPr>
      <w:r>
        <w:t xml:space="preserve">    tests/</w:t>
      </w:r>
    </w:p>
    <w:p>
      <w:pPr>
        <w:pStyle w:val="CodeBody"/>
      </w:pPr>
      <w:r>
        <w:t xml:space="preserve">  tests/                 界面与验收场景</w:t>
      </w:r>
    </w:p>
    <w:p>
      <w:pPr>
        <w:spacing w:after="60"/>
      </w:pPr>
    </w:p>
    <w:p>
      <w:r>
        <w:t>目录由 Codex 初始化时建立，本交付包只包含文档。先维持有限层级；在重复用途已经出现时再抽取公共能力。跨语言 DTO 在 Rust 与 TypeScript 均明确定义，用契约测试验证字段、枚举、空值和序列化一致，不在首版引入自建代码生成器。</w:t>
      </w:r>
    </w:p>
    <w:p>
      <w:pPr>
        <w:pStyle w:val="Heading2"/>
      </w:pPr>
      <w:r>
        <w:t>5.4 命令边界</w:t>
      </w:r>
    </w:p>
    <w:p>
      <w:r>
        <w:t>前端使用语义命令，如 create_project、save_note、adopt_candidate、backup_workspace。不得提供 execute_sql、read_any_file 或 invoke_any_module 这类无限通用入口。Tauri capability、路径校验和领域校验需要同时存在，不能只依赖前端隐藏按钮。</w:t>
      </w:r>
    </w:p>
    <w:p>
      <w:r>
        <w:t>成功返回实际业务结果；失败使用可序列化的 AppError，包含 code、message、retryable、requestId 和可选 details。统一错误码至少包含 VALIDATION、NOT_FOUND、CONFLICT、MODULE_DISABLED、IO_ERROR、DB_ERROR、CANCELLED、AI_UNAVAILABLE、BACKUP_INVALID。正文和密钥不得出现在错误 details。</w:t>
      </w:r>
    </w:p>
    <w:p>
      <w:r>
        <w:t>所有写入都校验实体归属、有效状态、文本大小与基准版本。日期时间使用 UTC ISO 8601 存储，按用户系统时区显示；任务截止日按 YYYY-MM-DD 保存。ID 使用 UUID 字符串。前端 TypeScript strict 开启，Rust 生产路径避免 unwrap 和 panic。</w:t>
      </w:r>
    </w:p>
    <w:p>
      <w:bookmarkStart w:id="6" w:name="chapter_6"/>
      <w:pPr>
        <w:pStyle w:val="Heading1"/>
      </w:pPr>
      <w:r>
        <w:t>6 界面与交互规范</w:t>
      </w:r>
      <w:bookmarkEnd w:id="6"/>
    </w:p>
    <w:p>
      <w:pPr>
        <w:pStyle w:val="Heading2"/>
      </w:pPr>
      <w:r>
        <w:t>6.1 信息架构</w:t>
      </w:r>
    </w:p>
    <w:p>
      <w:r>
        <w:t>主导航为首页、项目、资料、任务、模块和设置。启用墨稿后增加“墨稿”入口，可固定到导航；从项目详情可进入关联作品。导航排序和固定状态属于平台偏好，模块不得建立另一个重复的全局导航。</w:t>
      </w:r>
    </w:p>
    <w:p>
      <w:r>
        <w:t>项目详情含概览、关联资料、笔记、任务和模块内容。资料区统一显示文件、链接和笔记，按类型筛选。任务区提供列表与日期筛选。设置分为外观、快捷键、数据与备份、AI 连接和关于。回收站从资料及数据管理均可进入，调用同一服务。</w:t>
      </w:r>
    </w:p>
    <w:p>
      <w:r>
        <w:t>墨稿工作区采用左侧作品及章节树、中间编辑区、右侧可收起的设定或 AI 辅助区。专注模式收起左右区域，仍保留保存状态与返回入口。不同作品切换时保持各自最后有效章节，候选与编辑会话按作品隔离。</w:t>
      </w:r>
    </w:p>
    <w:p>
      <w:pPr>
        <w:pStyle w:val="Heading2"/>
      </w:pPr>
      <w:r>
        <w:t>6.2 视觉要求</w:t>
      </w:r>
    </w:p>
    <w:p>
      <w:r>
        <w:t>使用语义变量定义背景、表面、正文、次要文字、边框、强调和状态色；浅色以暖白和墨色为基调，深色以低亮度中性背景为基调。强调色克制，不在正文上叠加粒子、打字机装饰或持续动画。品牌色最终可调整，布局与数据逻辑不能依赖硬编码颜色。</w:t>
      </w:r>
    </w:p>
    <w:p>
      <w:r>
        <w:t>统一界面字号层级：页面标题 24 px、区域标题 18 px、小标题 16 px、正文 15 px、控件 14 px、辅助文字 13 px；按钮与输入框统一 40 px 基准高度。面板间距 24 px，主要间距采用 4 px 的倍数。长文正文与用户创作的标题保留自己的层级，不能为了统一 UI 抹平文档格式。字号设置范围仍为 14 至 24 px，实际设置服务与缩放验收按 B08 实施。导航与顶栏保持可见，窄窗口文档双栏改为纵向排列。</w:t>
      </w:r>
    </w:p>
    <w:p>
      <w:r>
        <w:t>在 1280 × 800 和 1440 × 900 窗口下完整显示主流程；1024 × 720 时辅助侧栏自动收起，主页面不出现横向滚动。支持 125% 系统缩放和 150% 应用字号。中文输入法组合输入期间不得保存半个组合字符、触发错误快捷键或破坏光标。</w:t>
      </w:r>
    </w:p>
    <w:p>
      <w:pPr>
        <w:pStyle w:val="Heading2"/>
      </w:pPr>
      <w:r>
        <w:t>6.3 必须覆盖的状态</w:t>
      </w:r>
    </w:p>
    <w:p>
      <w:r>
        <w:t>每个列表与详情均覆盖首次空状态、加载、成功、无搜索结果、错误、重试及删除后不可访问状态。错误说明具体下一步；无权限或模块停用不能伪装成不存在。按钮不可用时说明原因，保存中不锁住继续输入。</w:t>
      </w:r>
    </w:p>
    <w:p>
      <w:r>
        <w:t>窗口关闭、路由离开与模块停用共用保存冲刷规则。批量操作展示影响数量，失败显示失败项，可安全重试。危险动作说明被删除的数据类型，不能只显示“确定吗”。操作后提供撤销或回收站入口，永久删除除外。</w:t>
      </w:r>
    </w:p>
    <w:p>
      <w:pPr>
        <w:pStyle w:val="Heading2"/>
      </w:pPr>
      <w:r>
        <w:t>6.4 键盘与可访问性</w:t>
      </w:r>
    </w:p>
    <w:p>
      <w:r>
        <w:t>全局搜索使用 Command 或 Ctrl + K，新建与保存快捷键按当前页面上下文分配。设置中显示所有快捷键，检测与编辑器、系统常用动作冲突。所有交互控件可通过键盘进入，焦点可见，弹窗关闭后焦点回到来源控件，图标按钮具有文本名称。状态不能只靠颜色表达。</w:t>
      </w:r>
    </w:p>
    <w:p>
      <w:r>
        <w:t>主流程页面提供可复用的标题、工具栏、筛选区、列表、详情及反馈结构。先验证真实数据的空状态与失败状态，再验收视觉；展示用假数据不能留在正式首页。</w:t>
      </w:r>
    </w:p>
    <w:p>
      <w:bookmarkStart w:id="7" w:name="chapter_7"/>
      <w:pPr>
        <w:pStyle w:val="Heading1"/>
      </w:pPr>
      <w:r>
        <w:t>7 模块契约与扩展规则</w:t>
      </w:r>
      <w:bookmarkEnd w:id="7"/>
    </w:p>
    <w:p>
      <w:pPr>
        <w:pStyle w:val="Heading2"/>
      </w:pPr>
      <w:r>
        <w:t>7.1 模块定义</w:t>
      </w:r>
    </w:p>
    <w:p>
      <w:r>
        <w:t>首版模块是随应用构建的 TypeScript 页面和 Rust 领域实现。用户启用或停用功能，开发者增加模块后重新构建应用。业务模块与 Tauri 原生插件属于不同概念。</w:t>
      </w:r>
    </w:p>
    <w:p>
      <w:r>
        <w:t>模块清单示例只描述数据，不是可直接执行的 API：</w:t>
      </w:r>
    </w:p>
    <w:p>
      <w:pPr>
        <w:pStyle w:val="CodeBody"/>
      </w:pPr>
      <w:r>
        <w:t>{</w:t>
      </w:r>
    </w:p>
    <w:p>
      <w:pPr>
        <w:pStyle w:val="CodeBody"/>
      </w:pPr>
      <w:r>
        <w:t xml:space="preserve">  "id": "mogao",</w:t>
      </w:r>
    </w:p>
    <w:p>
      <w:pPr>
        <w:pStyle w:val="CodeBody"/>
      </w:pPr>
      <w:r>
        <w:t xml:space="preserve">  "name": "墨稿",</w:t>
      </w:r>
    </w:p>
    <w:p>
      <w:pPr>
        <w:pStyle w:val="CodeBody"/>
      </w:pPr>
      <w:r>
        <w:t xml:space="preserve">  "version": "0.1.0",</w:t>
      </w:r>
    </w:p>
    <w:p>
      <w:pPr>
        <w:pStyle w:val="CodeBody"/>
      </w:pPr>
      <w:r>
        <w:t xml:space="preserve">  "apiVersion": 1,</w:t>
      </w:r>
    </w:p>
    <w:p>
      <w:pPr>
        <w:pStyle w:val="CodeBody"/>
      </w:pPr>
      <w:r>
        <w:t xml:space="preserve">  "description": "本地小说创作",</w:t>
      </w:r>
    </w:p>
    <w:p>
      <w:pPr>
        <w:pStyle w:val="CodeBody"/>
      </w:pPr>
      <w:r>
        <w:t xml:space="preserve">  "entryRoute": "/modules/mogao",</w:t>
      </w:r>
    </w:p>
    <w:p>
      <w:pPr>
        <w:pStyle w:val="CodeBody"/>
      </w:pPr>
      <w:r>
        <w:t xml:space="preserve">  "requestedServices": ["resources.read", "search.publish", "ai.request"],</w:t>
      </w:r>
    </w:p>
    <w:p>
      <w:pPr>
        <w:pStyle w:val="CodeBody"/>
      </w:pPr>
      <w:r>
        <w:t xml:space="preserve">  "dataSchemaVersion": 1</w:t>
      </w:r>
    </w:p>
    <w:p>
      <w:pPr>
        <w:pStyle w:val="CodeBody"/>
      </w:pPr>
      <w:r>
        <w:t>}</w:t>
      </w:r>
    </w:p>
    <w:p>
      <w:pPr>
        <w:spacing w:after="60"/>
      </w:pPr>
    </w:p>
    <w:p>
      <w:r>
        <w:t>id 唯一且不可因改名变化；apiVersion 为整数。首版只允许等于当前平台 API 版本，未来提供迁移后再支持多版本。清单必须在启动时校验，未知权限和重复 ID 拒绝注册，错误局限在模块。不存在的模块不能生成空入口。</w:t>
      </w:r>
    </w:p>
    <w:p>
      <w:pPr>
        <w:pStyle w:val="Heading2"/>
      </w:pPr>
      <w:r>
        <w:t>7.2 生命周期</w:t>
      </w:r>
    </w:p>
    <w:p>
      <w:r>
        <w:t>状态为 disabled、initializing、ready、disabling、error。首次启动数据库迁移按应用迁移顺序执行，模块停用不跳过其必要数据迁移。模块启用时初始化服务并注册导航、命令描述、搜索与备份参与者，全部完成才显示 ready。</w:t>
      </w:r>
    </w:p>
    <w:p>
      <w:r>
        <w:t>停用先检查 dirty editor 与 active job，冲刷内容后在安全点取消任务，再移除导航和检索入口。不能取消的提交完成后才继续停用。停用失败回到 ready 并展示原因，不能让内容处于半注册状态。应用重启按已持久化启用状态恢复，初始化失败可从模块中心重试。Tauri 命令在构建时静态注册，运行时以模块状态校验限制调用，不实现动态卸载 Rust 代码。</w:t>
      </w:r>
    </w:p>
    <w:p>
      <w:pPr>
        <w:pStyle w:val="Heading2"/>
      </w:pPr>
      <w:r>
        <w:t>7.3 平台公开服务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5040"/>
      </w:tblGrid>
      <w:tr>
        <w:trPr>
          <w:tblHeader/>
          <w:cantSplit/>
        </w:trPr>
        <w:tc>
          <w:tcPr>
            <w:tcW w:type="dxa" w:w="1944"/>
            <w:vAlign w:val="center"/>
            <w:tcMar>
              <w:top w:w="95" w:type="dxa"/>
              <w:bottom w:w="95" w:type="dxa"/>
              <w:left w:w="110" w:type="dxa"/>
              <w:right w:w="110" w:type="dxa"/>
            </w:tcMar>
            <w:shd w:fill="DBE8F0"/>
          </w:tcPr>
          <w:p>
            <w:pPr>
              <w:keepNext w:val="0"/>
              <w:spacing w:line="280" w:lineRule="exact" w:after="20" w:before="20"/>
            </w:pPr>
            <w:r>
              <w:rPr>
                <w:b/>
                <w:sz w:val="20"/>
              </w:rPr>
              <w:t>服务</w:t>
            </w:r>
          </w:p>
        </w:tc>
        <w:tc>
          <w:tcPr>
            <w:tcW w:type="dxa" w:w="2952"/>
            <w:vAlign w:val="center"/>
            <w:tcMar>
              <w:top w:w="95" w:type="dxa"/>
              <w:bottom w:w="95" w:type="dxa"/>
              <w:left w:w="110" w:type="dxa"/>
              <w:right w:w="110" w:type="dxa"/>
            </w:tcMar>
            <w:shd w:fill="DBE8F0"/>
          </w:tcPr>
          <w:p>
            <w:pPr>
              <w:keepNext w:val="0"/>
              <w:spacing w:line="280" w:lineRule="exact" w:after="20" w:before="20"/>
            </w:pPr>
            <w:r>
              <w:rPr>
                <w:b/>
                <w:sz w:val="20"/>
              </w:rPr>
              <w:t>模块可做的事情</w:t>
            </w:r>
          </w:p>
        </w:tc>
        <w:tc>
          <w:tcPr>
            <w:tcW w:type="dxa" w:w="5040"/>
            <w:vAlign w:val="center"/>
            <w:tcMar>
              <w:top w:w="95" w:type="dxa"/>
              <w:bottom w:w="95" w:type="dxa"/>
              <w:left w:w="110" w:type="dxa"/>
              <w:right w:w="110" w:type="dxa"/>
            </w:tcMar>
            <w:shd w:fill="DBE8F0"/>
          </w:tcPr>
          <w:p>
            <w:pPr>
              <w:keepNext w:val="0"/>
              <w:spacing w:line="280" w:lineRule="exact" w:after="20" w:before="20"/>
            </w:pPr>
            <w:r>
              <w:rPr>
                <w:b/>
                <w:sz w:val="20"/>
              </w:rPr>
              <w:t>限制</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Projects</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读取项目及建立作品关联</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不直接改写项目内部表</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Resources</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读取明确关联的资料及申请新资料</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不扫描整个磁盘或自动上传资料</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Jobs</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注册任务 进度 取消与结果</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moduleId 与实体作用域明确</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Search</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提供本模块可重建搜索投影</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停用后清理正文索引</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Backup</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声明数据版本与附件引用</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参与平台统一快照 不复制另一套全局备份</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AI</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调用指定连接与请求能力</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不读取其他模块密钥 不自行保存凭据</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UI</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使用导航 主题与公共组件</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不覆盖平台全局快捷键</w:t>
            </w:r>
          </w:p>
        </w:tc>
      </w:tr>
      <w:tr>
        <w:tc>
          <w:tcPr>
            <w:tcW w:type="dxa" w:w="1944"/>
            <w:vAlign w:val="center"/>
            <w:tcMar>
              <w:top w:w="95" w:type="dxa"/>
              <w:bottom w:w="95" w:type="dxa"/>
              <w:left w:w="110" w:type="dxa"/>
              <w:right w:w="110" w:type="dxa"/>
            </w:tcMar>
            <w:shd w:fill="FFFFFF"/>
          </w:tcPr>
          <w:p>
            <w:r>
              <w:t>Documents</w:t>
            </w:r>
          </w:p>
        </w:tc>
        <w:tc>
          <w:tcPr>
            <w:tcW w:type="dxa" w:w="2952"/>
            <w:vAlign w:val="center"/>
            <w:tcMar>
              <w:top w:w="95" w:type="dxa"/>
              <w:bottom w:w="95" w:type="dxa"/>
              <w:left w:w="110" w:type="dxa"/>
              <w:right w:w="110" w:type="dxa"/>
            </w:tcMar>
            <w:shd w:fill="FFFFFF"/>
          </w:tcPr>
          <w:p>
            <w:r>
              <w:t>按资料 ID/revision 读取、编辑会话与文件版本、发布生成字节</w:t>
            </w:r>
          </w:p>
        </w:tc>
        <w:tc>
          <w:tcPr>
            <w:tcW w:type="dxa" w:w="5040"/>
            <w:vAlign w:val="center"/>
            <w:tcMar>
              <w:top w:w="95" w:type="dxa"/>
              <w:bottom w:w="95" w:type="dxa"/>
              <w:left w:w="110" w:type="dxa"/>
              <w:right w:w="110" w:type="dxa"/>
            </w:tcMar>
            <w:shd w:fill="FFFFFF"/>
          </w:tcPr>
          <w:p>
            <w:r>
              <w:t>Rust 托管与版本事务；UI 不持有路径；Office 处理完整编辑与重算，平台阅读不执行宏/公式</w:t>
            </w:r>
          </w:p>
        </w:tc>
      </w:tr>
    </w:tbl>
    <w:p>
      <w:pPr>
        <w:spacing w:after="60" w:before="0" w:line="60" w:lineRule="exact"/>
      </w:pPr>
      <w:r>
        <w:rPr>
          <w:sz w:val="6"/>
        </w:rPr>
      </w:r>
    </w:p>
    <w:p>
      <w:r>
        <w:t>首版服务是进程内明确接口与类型，不建立通用服务容器、模块 DSL 或任意消息总线。普通查询与写入优先使用直接接口；只用少数明确事件通知投影更新。</w:t>
      </w:r>
    </w:p>
    <w:p>
      <w:pPr>
        <w:pStyle w:val="Heading2"/>
      </w:pPr>
      <w:r>
        <w:t>7.4 事件与搜索契约</w:t>
      </w:r>
    </w:p>
    <w:p>
      <w:r>
        <w:t>事件包含 eventId、type、moduleId、entityId、revision、occurredAt、payloadVersion。事件在事务提交后发布；仅用于界面刷新或唤醒派生任务。关键一致性由数据库事务或持久任务保证，不能依赖内存事件必达。接收者按实体最新 revision 重建，不能依据迟到旧事件回退数据。</w:t>
      </w:r>
    </w:p>
    <w:p>
      <w:r>
        <w:t>searchProjection 返回 moduleId、entityType、entityId、title、plainText、route、updatedAt、sourceRevision。平台校验路由位于模块注册范围。disabled 模块只展示公开标题和停用提示，不展示旧正文片段。恢复与重新启用后重建索引。</w:t>
      </w:r>
    </w:p>
    <w:p>
      <w:pPr>
        <w:pStyle w:val="Heading2"/>
      </w:pPr>
      <w:r>
        <w:t>7.5 扩展验收</w:t>
      </w:r>
    </w:p>
    <w:p>
      <w:r>
        <w:t>基础版中用开发测试模块验证注册、页面入口、独立迁移、查询、异常、停用和重新启用；测试模块不随正式产品显示。新增模块只改变注册列表、新模块目录、独立迁移和必要公开契约版本，不修改其他模块实现。若新需求需要公共能力，先记录职责与用例，再修改平台契约并执行回归。</w:t>
      </w:r>
    </w:p>
    <w:p>
      <w:bookmarkStart w:id="8" w:name="chapter_8"/>
      <w:pPr>
        <w:pStyle w:val="Heading1"/>
      </w:pPr>
      <w:r>
        <w:t>8 数据模型与可靠性</w:t>
      </w:r>
      <w:bookmarkEnd w:id="8"/>
    </w:p>
    <w:p>
      <w:pPr>
        <w:pStyle w:val="Heading2"/>
      </w:pPr>
      <w:r>
        <w:t>8.1 数据目录与所有权</w:t>
      </w:r>
    </w:p>
    <w:p>
      <w:r>
        <w:t>使用系统应用数据目录，内容分为 workspace.sqlite、attachments、drafts、backups 和 logs。应用标识在首次发布前固定。数据库元信息存 workspaceId 与 schemaVersion；附件使用内部 ID 路径，原始文件名作为元数据。前端取得资料 ID 后向后端申请访问，不把任意路径作为资源身份。</w:t>
      </w:r>
    </w:p>
    <w:p>
      <w:r>
        <w:t>平台与模块使用同一 SQLite 数据库，以表前缀标明所有权，减少首版跨库事务。平台不得直接操作 mogao 业务表；小说仓储不越过平台服务操作平台表。仅全局迁移、备份和完整性检查可以读取数据库全局结构。</w:t>
      </w:r>
    </w:p>
    <w:p>
      <w:pPr>
        <w:pStyle w:val="Heading2"/>
      </w:pPr>
      <w:r>
        <w:t>8.2 逻辑实体</w:t>
      </w:r>
    </w:p>
    <w:p>
      <w:r>
        <w:t>下表是必要逻辑实体，Codex 可在不改变行为的前提下合并辅助表；DDL、索引与约束在阶段 S01 落实并写入数据字典。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3456"/>
        <w:gridCol w:w="5472"/>
      </w:tblGrid>
      <w:tr>
        <w:trPr>
          <w:tblHeader/>
          <w:cantSplit/>
        </w:trPr>
        <w:tc>
          <w:tcPr>
            <w:tcW w:type="dxa" w:w="1008"/>
            <w:vAlign w:val="center"/>
            <w:tcMar>
              <w:top w:w="95" w:type="dxa"/>
              <w:bottom w:w="95" w:type="dxa"/>
              <w:left w:w="110" w:type="dxa"/>
              <w:right w:w="110" w:type="dxa"/>
            </w:tcMar>
            <w:shd w:fill="DBE8F0"/>
          </w:tcPr>
          <w:p>
            <w:pPr>
              <w:keepNext w:val="0"/>
              <w:spacing w:line="280" w:lineRule="exact" w:after="20" w:before="20"/>
              <w:jc w:val="center"/>
            </w:pPr>
            <w:r>
              <w:rPr>
                <w:b/>
                <w:sz w:val="20"/>
              </w:rPr>
              <w:t>归属</w:t>
            </w:r>
          </w:p>
        </w:tc>
        <w:tc>
          <w:tcPr>
            <w:tcW w:type="dxa" w:w="3456"/>
            <w:vAlign w:val="center"/>
            <w:tcMar>
              <w:top w:w="95" w:type="dxa"/>
              <w:bottom w:w="95" w:type="dxa"/>
              <w:left w:w="110" w:type="dxa"/>
              <w:right w:w="110" w:type="dxa"/>
            </w:tcMar>
            <w:shd w:fill="DBE8F0"/>
          </w:tcPr>
          <w:p>
            <w:pPr>
              <w:keepNext w:val="0"/>
              <w:spacing w:line="280" w:lineRule="exact" w:after="20" w:before="20"/>
            </w:pPr>
            <w:r>
              <w:rPr>
                <w:b/>
                <w:sz w:val="20"/>
              </w:rPr>
              <w:t>逻辑实体</w:t>
            </w:r>
          </w:p>
        </w:tc>
        <w:tc>
          <w:tcPr>
            <w:tcW w:type="dxa" w:w="5472"/>
            <w:vAlign w:val="center"/>
            <w:tcMar>
              <w:top w:w="95" w:type="dxa"/>
              <w:bottom w:w="95" w:type="dxa"/>
              <w:left w:w="110" w:type="dxa"/>
              <w:right w:w="110" w:type="dxa"/>
            </w:tcMar>
            <w:shd w:fill="DBE8F0"/>
          </w:tcPr>
          <w:p>
            <w:pPr>
              <w:keepNext w:val="0"/>
              <w:spacing w:line="280" w:lineRule="exact" w:after="20" w:before="20"/>
            </w:pPr>
            <w:r>
              <w:rPr>
                <w:b/>
                <w:sz w:val="20"/>
              </w:rPr>
              <w:t>必要字段与规则</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projects</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id name description status revision deletedAt</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6F8FA"/>
          </w:tcPr>
          <w:p>
            <w:pPr>
              <w:keepNext w:val="0"/>
              <w:spacing w:line="280" w:lineRule="exact" w:after="20" w:before="20"/>
            </w:pPr>
            <w:r>
              <w:rPr>
                <w:sz w:val="20"/>
              </w:rPr>
              <w:t>resources folders blobs</w:t>
            </w:r>
          </w:p>
        </w:tc>
        <w:tc>
          <w:tcPr>
            <w:tcW w:type="dxa" w:w="5472"/>
            <w:vAlign w:val="center"/>
            <w:tcMar>
              <w:top w:w="95" w:type="dxa"/>
              <w:bottom w:w="95" w:type="dxa"/>
              <w:left w:w="110" w:type="dxa"/>
              <w:right w:w="110" w:type="dxa"/>
            </w:tcMar>
            <w:shd w:fill="F6F8FA"/>
          </w:tcPr>
          <w:p>
            <w:pPr>
              <w:keepNext w:val="0"/>
              <w:spacing w:line="280" w:lineRule="exact" w:after="20" w:before="20"/>
            </w:pPr>
            <w:r>
              <w:rPr>
                <w:sz w:val="20"/>
              </w:rPr>
              <w:t>类型 文件夹 来源 标签引用 blobId 校验值；folder 不形成环</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notes note_versions</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resourceId 正文 JSON schemaVersion revision；版本不可原地修改</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6F8FA"/>
          </w:tcPr>
          <w:p>
            <w:pPr>
              <w:keepNext w:val="0"/>
              <w:spacing w:line="280" w:lineRule="exact" w:after="20" w:before="20"/>
            </w:pPr>
            <w:r>
              <w:rPr>
                <w:sz w:val="20"/>
              </w:rPr>
              <w:t>tasks</w:t>
            </w:r>
          </w:p>
        </w:tc>
        <w:tc>
          <w:tcPr>
            <w:tcW w:type="dxa" w:w="5472"/>
            <w:vAlign w:val="center"/>
            <w:tcMar>
              <w:top w:w="95" w:type="dxa"/>
              <w:bottom w:w="95" w:type="dxa"/>
              <w:left w:w="110" w:type="dxa"/>
              <w:right w:w="110" w:type="dxa"/>
            </w:tcMar>
            <w:shd w:fill="F6F8FA"/>
          </w:tcPr>
          <w:p>
            <w:pPr>
              <w:keepNext w:val="0"/>
              <w:spacing w:line="280" w:lineRule="exact" w:after="20" w:before="20"/>
            </w:pPr>
            <w:r>
              <w:rPr>
                <w:sz w:val="20"/>
              </w:rPr>
              <w:t>标题 状态 优先级 dueDate 可空 projectId revision</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tags entity_tags project_resources</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类型化实体引用与唯一关联；按归属校验</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6F8FA"/>
          </w:tcPr>
          <w:p>
            <w:pPr>
              <w:keepNext w:val="0"/>
              <w:spacing w:line="280" w:lineRule="exact" w:after="20" w:before="20"/>
            </w:pPr>
            <w:r>
              <w:rPr>
                <w:sz w:val="20"/>
              </w:rPr>
              <w:t>preferences module_states</w:t>
            </w:r>
          </w:p>
        </w:tc>
        <w:tc>
          <w:tcPr>
            <w:tcW w:type="dxa" w:w="5472"/>
            <w:vAlign w:val="center"/>
            <w:tcMar>
              <w:top w:w="95" w:type="dxa"/>
              <w:bottom w:w="95" w:type="dxa"/>
              <w:left w:w="110" w:type="dxa"/>
              <w:right w:w="110" w:type="dxa"/>
            </w:tcMar>
            <w:shd w:fill="F6F8FA"/>
          </w:tcPr>
          <w:p>
            <w:pPr>
              <w:keepNext w:val="0"/>
              <w:spacing w:line="280" w:lineRule="exact" w:after="20" w:before="20"/>
            </w:pPr>
            <w:r>
              <w:rPr>
                <w:sz w:val="20"/>
              </w:rPr>
              <w:t>可版本化设置 启用状态；排除密钥</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平台</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jobs search_projection</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任务状态 进度 请求归属；索引可重建</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AI 服务</w:t>
            </w:r>
          </w:p>
        </w:tc>
        <w:tc>
          <w:tcPr>
            <w:tcW w:type="dxa" w:w="3456"/>
            <w:vAlign w:val="center"/>
            <w:tcMar>
              <w:top w:w="95" w:type="dxa"/>
              <w:bottom w:w="95" w:type="dxa"/>
              <w:left w:w="110" w:type="dxa"/>
              <w:right w:w="110" w:type="dxa"/>
            </w:tcMar>
            <w:shd w:fill="F6F8FA"/>
          </w:tcPr>
          <w:p>
            <w:pPr>
              <w:keepNext w:val="0"/>
              <w:spacing w:line="280" w:lineRule="exact" w:after="20" w:before="20"/>
            </w:pPr>
            <w:r>
              <w:rPr>
                <w:sz w:val="20"/>
              </w:rPr>
              <w:t>ai_connections</w:t>
            </w:r>
          </w:p>
        </w:tc>
        <w:tc>
          <w:tcPr>
            <w:tcW w:type="dxa" w:w="5472"/>
            <w:vAlign w:val="center"/>
            <w:tcMar>
              <w:top w:w="95" w:type="dxa"/>
              <w:bottom w:w="95" w:type="dxa"/>
              <w:left w:w="110" w:type="dxa"/>
              <w:right w:w="110" w:type="dxa"/>
            </w:tcMar>
            <w:shd w:fill="F6F8FA"/>
          </w:tcPr>
          <w:p>
            <w:pPr>
              <w:keepNext w:val="0"/>
              <w:spacing w:line="280" w:lineRule="exact" w:after="20" w:before="20"/>
            </w:pPr>
            <w:r>
              <w:rPr>
                <w:sz w:val="20"/>
              </w:rPr>
              <w:t>提供商地址 模型 secretRef；不保存明文密钥</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墨稿</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mogao_works project_links</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作品字段 可空平台关联 settingRevision</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墨稿</w:t>
            </w:r>
          </w:p>
        </w:tc>
        <w:tc>
          <w:tcPr>
            <w:tcW w:type="dxa" w:w="3456"/>
            <w:vAlign w:val="center"/>
            <w:tcMar>
              <w:top w:w="95" w:type="dxa"/>
              <w:bottom w:w="95" w:type="dxa"/>
              <w:left w:w="110" w:type="dxa"/>
              <w:right w:w="110" w:type="dxa"/>
            </w:tcMar>
            <w:shd w:fill="F6F8FA"/>
          </w:tcPr>
          <w:p>
            <w:pPr>
              <w:keepNext w:val="0"/>
              <w:spacing w:line="280" w:lineRule="exact" w:after="20" w:before="20"/>
            </w:pPr>
            <w:r>
              <w:rPr>
                <w:sz w:val="20"/>
              </w:rPr>
              <w:t>mogao_volumes chapters chapter_versions</w:t>
            </w:r>
          </w:p>
        </w:tc>
        <w:tc>
          <w:tcPr>
            <w:tcW w:type="dxa" w:w="5472"/>
            <w:vAlign w:val="center"/>
            <w:tcMar>
              <w:top w:w="95" w:type="dxa"/>
              <w:bottom w:w="95" w:type="dxa"/>
              <w:left w:w="110" w:type="dxa"/>
              <w:right w:w="110" w:type="dxa"/>
            </w:tcMar>
            <w:shd w:fill="F6F8FA"/>
          </w:tcPr>
          <w:p>
            <w:pPr>
              <w:keepNext w:val="0"/>
              <w:spacing w:line="280" w:lineRule="exact" w:after="20" w:before="20"/>
            </w:pPr>
            <w:r>
              <w:rPr>
                <w:sz w:val="20"/>
              </w:rPr>
              <w:t>workId orderKey 正文 JSON revision；版本稳定</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墨稿</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mogao_characters world_items outlines</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设定内容 revision；关联章与父节点归属明确</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墨稿</w:t>
            </w:r>
          </w:p>
        </w:tc>
        <w:tc>
          <w:tcPr>
            <w:tcW w:type="dxa" w:w="3456"/>
            <w:vAlign w:val="center"/>
            <w:tcMar>
              <w:top w:w="95" w:type="dxa"/>
              <w:bottom w:w="95" w:type="dxa"/>
              <w:left w:w="110" w:type="dxa"/>
              <w:right w:w="110" w:type="dxa"/>
            </w:tcMar>
            <w:shd w:fill="F6F8FA"/>
          </w:tcPr>
          <w:p>
            <w:pPr>
              <w:keepNext w:val="0"/>
              <w:spacing w:line="280" w:lineRule="exact" w:after="20" w:before="20"/>
            </w:pPr>
            <w:r>
              <w:rPr>
                <w:sz w:val="20"/>
              </w:rPr>
              <w:t>mogao_ai_candidates</w:t>
            </w:r>
          </w:p>
        </w:tc>
        <w:tc>
          <w:tcPr>
            <w:tcW w:type="dxa" w:w="5472"/>
            <w:vAlign w:val="center"/>
            <w:tcMar>
              <w:top w:w="95" w:type="dxa"/>
              <w:bottom w:w="95" w:type="dxa"/>
              <w:left w:w="110" w:type="dxa"/>
              <w:right w:w="110" w:type="dxa"/>
            </w:tcMar>
            <w:shd w:fill="F6F8FA"/>
          </w:tcPr>
          <w:p>
            <w:pPr>
              <w:keepNext w:val="0"/>
              <w:spacing w:line="280" w:lineRule="exact" w:after="20" w:before="20"/>
            </w:pPr>
            <w:r>
              <w:rPr>
                <w:sz w:val="20"/>
              </w:rPr>
              <w:t>请求归属 基准版本 内容 操作类型 状态</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墨稿</w:t>
            </w:r>
          </w:p>
        </w:tc>
        <w:tc>
          <w:tcPr>
            <w:tcW w:type="dxa" w:w="3456"/>
            <w:vAlign w:val="center"/>
            <w:tcMar>
              <w:top w:w="95" w:type="dxa"/>
              <w:bottom w:w="95" w:type="dxa"/>
              <w:left w:w="110" w:type="dxa"/>
              <w:right w:w="110" w:type="dxa"/>
            </w:tcMar>
            <w:shd w:fill="FFFFFF"/>
          </w:tcPr>
          <w:p>
            <w:pPr>
              <w:keepNext w:val="0"/>
              <w:spacing w:line="280" w:lineRule="exact" w:after="20" w:before="20"/>
            </w:pPr>
            <w:r>
              <w:rPr>
                <w:sz w:val="20"/>
              </w:rPr>
              <w:t>mogao_derived_items</w:t>
            </w:r>
          </w:p>
        </w:tc>
        <w:tc>
          <w:tcPr>
            <w:tcW w:type="dxa" w:w="5472"/>
            <w:vAlign w:val="center"/>
            <w:tcMar>
              <w:top w:w="95" w:type="dxa"/>
              <w:bottom w:w="95" w:type="dxa"/>
              <w:left w:w="110" w:type="dxa"/>
              <w:right w:w="110" w:type="dxa"/>
            </w:tcMar>
            <w:shd w:fill="FFFFFF"/>
          </w:tcPr>
          <w:p>
            <w:pPr>
              <w:keepNext w:val="0"/>
              <w:spacing w:line="280" w:lineRule="exact" w:after="20" w:before="20"/>
            </w:pPr>
            <w:r>
              <w:rPr>
                <w:sz w:val="20"/>
              </w:rPr>
              <w:t>摘要 经历 事实类型 来源章 revision 引用 状态</w:t>
            </w:r>
          </w:p>
        </w:tc>
      </w:tr>
    </w:tbl>
    <w:p>
      <w:pPr>
        <w:spacing w:after="60" w:before="0" w:line="60" w:lineRule="exact"/>
      </w:pPr>
      <w:r>
        <w:rPr>
          <w:sz w:val="6"/>
        </w:rPr>
      </w:r>
    </w:p>
    <w:p>
      <w:r>
        <w:t>所有可编辑实体至少含 createdAt、updatedAt 和 revision。软删除实体增加 deletedAt，默认查询排除软删除。数据库开启外键检查，项目关联或层级删除不使用会误删共享内容的隐式级联。唯一性和归属不能仅靠前端验证。</w:t>
      </w:r>
    </w:p>
    <w:p>
      <w:pPr>
        <w:pStyle w:val="Heading2"/>
      </w:pPr>
      <w:r>
        <w:t>8.3 保存与草稿规则</w:t>
      </w:r>
    </w:p>
    <w:p>
      <w:r>
        <w:t>数据库保存是权威状态，浏览器 localStorage 只能存临时界面偏好，不能保存正文、连接密钥或充当数据库。所有写入参数化，事务尽量短。字段长度、JSON schemaVersion 和对象归属在 Rust 层校验。</w:t>
      </w:r>
    </w:p>
    <w:p>
      <w:r>
        <w:t>保存采用乐观版本校验：UPDATE 以 id 和 baseRevision 为条件；受影响行不是一行时返回冲突。版本快照与正文替换在同一事务中进行。基础笔记和章节使用一致的 SaveReceipt，包含 entityId、savedRevision、clientEditSequence 和 savedAt；界面只把该 editSequence 之前的内容标为已保存。</w:t>
      </w:r>
    </w:p>
    <w:p>
      <w:r>
        <w:t>草稿写入由 Rust 草稿服务负责，原子替换临时文件并带校验值、实体 ID、baseRevision 和编辑序号。草稿每 2 秒在有改动时落盘，不能保证突然断电前最后一次键入已保存；启动时显示可恢复稿并由用户选择。草稿恢复仍经过版本检查，不能覆盖比草稿更新的正文。已有保存成功回执的内容属于强验收要求。</w:t>
      </w:r>
    </w:p>
    <w:p>
      <w:pPr>
        <w:pStyle w:val="Heading2"/>
      </w:pPr>
      <w:r>
        <w:t>8.4 附件与删除</w:t>
      </w:r>
    </w:p>
    <w:p>
      <w:r>
        <w:t>导入先复制到临时文件、校验、重命名到 blob 目录，再提交资料与引用记录；数据库提交失败留下的孤立附件可由后台清理。资料显示成功前，文件与记录都必须存在。文件引用计数由数据库查询计算，不能依赖内存计数。</w:t>
      </w:r>
    </w:p>
    <w:p>
      <w:r>
        <w:t>所有路径都相对应用管理根目录或来自一次明确的系统文件选择。校验规范化后的边界，拒绝路径穿越和越界符号链接。打开外部链接只允许 http 或 https。永久删除在数据库事务提交后进行附件清理，失败记录待清理任务，不回报数据恢复成功。</w:t>
      </w:r>
    </w:p>
    <w:p>
      <w:pPr>
        <w:pStyle w:val="Heading3"/>
      </w:pPr>
      <w:r>
        <w:t>8.4.1 文档与表格原件和阅读视图</w:t>
      </w:r>
    </w:p>
    <w:p>
      <w:pPr/>
      <w:r>
        <w:t>文档/表格原件仍是 resources → blobs 资料，不因读取而新建重复正文。DocumentView 返回 resourceId/sourceRevision、format、受控 Markdown 展示、Word 文档块、工作表名、单元格类型/文字/公式和行列范围；单元格显示字符串避免跨语言数值误解释。读取前后核对资料版本和有效状态，托管原件核对哈希；不把解析失败变成原文件丢失。解析投影不作为权威内容，可重新生成。</w:t>
      </w:r>
    </w:p>
    <w:p>
      <w:pPr/>
      <w:r>
        <w:t>GeneratedArtifact 为内置 Rust 调用，包含 filename、bytes、source、description、folderId、projectId，不暴露任意路径或通用写盘命令。生成后先托管附件，再于短事务写入资料、来源和关联；失败清理本次新孤立字节，共享已存在字节保留。发布创建独立资料，不自动覆盖既有文件。编辑提交另通过 baseRevision 与文件版本事务替换资料引用；完整备份须包含原件、历史版本引用的字节及资料元数据，阅读视图无需重复备份。未提交会话需先处理草稿/工作副本，不得只备份旧附件后声称当前修改已备份。</w:t>
      </w:r>
    </w:p>
    <w:p>
      <w:pPr>
        <w:pStyle w:val="Heading3"/>
      </w:pPr>
      <w:r>
        <w:t>8.4.2 文档编辑会话与文件历史</w:t>
      </w:r>
    </w:p>
    <w:p>
      <w:pPr/>
      <w:r>
        <w:t>迁移 0002 增加 platform_document_sessions 与 platform_file_versions，不修改 0001。每份资料最多一个持久会话，记录 baseRevision、sourceBlobId、文件名、格式、Markdown 草稿及 editSequence；Office 副本位于应用的 editing/sessionId 目录。UI 只持有会话 ID，路径由 Rust 校验并解析，拒绝越界和符号链接；原始附件不交给编辑器。</w:t>
      </w:r>
    </w:p>
    <w:p>
      <w:pPr/>
      <w:r>
        <w:t>Markdown 每两秒写 SQLite 恢复草稿，提交前再次落盘；同序号只接受同内容，旧序号拒绝。提交回执包含 savedRevision 和 clientEditSequence，迟到回执不得替换后续输入。Word/Excel 需在外部应用保存并关闭；检测常见锁文件及读取期间变动，失败保留副本。平台不截获外部应用尚未保存的内存输入，也不代替 Office 的格式兼容与重算。</w:t>
      </w:r>
    </w:p>
    <w:p>
      <w:pPr/>
      <w:r>
        <w:t>文件变更先托管完整新字节，短事务校验资料归属与 revision，建立前后不可变版本，再修改 blob 引用。零行更新或快照失败须回滚并清理本次孤立字节，共享旧字节保留。恢复历史建立新 revision；活动会话存在时不允许恢复，以防同时修改。冲突另存保留原来源，不覆盖较新文件；会话只有显式结束时移除。</w:t>
      </w:r>
    </w:p>
    <w:p>
      <w:pPr>
        <w:pStyle w:val="Heading2"/>
      </w:pPr>
      <w:r>
        <w:t>8.5 备份格式与恢复算法</w:t>
      </w:r>
    </w:p>
    <w:p>
      <w:r>
        <w:t>完整备份采用 .moshub.zip，包含 manifest.json、workspace.sqlite 一致性快照和附件。manifest 含 backupFormatVersion、appVersion、workspaceId、schemaVersion、createdAt、模块数据版本、文件清单、大小和 SHA-256。使用 SQLite 在线备份能力或等价一致性方法；不能只复制一个仍在写入的主数据库文件。</w:t>
      </w:r>
    </w:p>
    <w:p>
      <w:r>
        <w:t>备份时先冲刷编辑会话，进入短时写入屏障，创建数据库快照并固定对应附件引用，然后复制附件与校验。任务失败时不生成成功标记；成功后以原子重命名发布文件。backup job 的最终完成状态属于运行元信息，可以晚于内容快照。</w:t>
      </w:r>
    </w:p>
    <w:p>
      <w:r>
        <w:t>恢复步骤为校验清单 → 受限解压到临时目录 → 检查路径 大小及总展开量 → 校验哈希与数据库完整性 → 校验所有外键和附件 → 必要时在临时库迁移 → 备份当前空间 → 关闭 DB 与编辑会话 → 原子切换目录 → 重新打开并重建索引。每步记录结果；切换失败重新打开原空间。默认展开上限 10 GB，可在用户明确选择后调整；恶意或损坏文件不会覆盖原库。</w:t>
      </w:r>
    </w:p>
    <w:p>
      <w:r>
        <w:t>新格式版本大于应用支持版本时明确拒绝恢复，旧格式只有存在受测迁移时才接受。恢复不导入密钥，也不误称 AI 已配置。停用模块的数据仍包含在快照中。内容版本不默认截断，容量页提供用户主动清理方式。</w:t>
      </w:r>
    </w:p>
    <w:p>
      <w:pPr>
        <w:pStyle w:val="Heading2"/>
      </w:pPr>
      <w:r>
        <w:t>8.6 数据升级</w:t>
      </w:r>
    </w:p>
    <w:p>
      <w:r>
        <w:t>迁移使用编号 SQL 和固定执行顺序，记录版本、时间和校验值。应用升级先检查数据版本，迁移前备份，必要变更在事务内执行；已发布迁移不修改，新增修正迁移。迁移失败保持原数据并显示恢复途径；不静默降级读取。正式交付前必须用上一版本测试库验证升级和备份恢复。</w:t>
      </w:r>
    </w:p>
    <w:p>
      <w:bookmarkStart w:id="9" w:name="chapter_9"/>
      <w:pPr>
        <w:pStyle w:val="Heading1"/>
      </w:pPr>
      <w:r>
        <w:t>9 AI 能力与数据使用策略</w:t>
      </w:r>
      <w:bookmarkEnd w:id="9"/>
    </w:p>
    <w:p>
      <w:pPr>
        <w:pStyle w:val="Heading2"/>
      </w:pPr>
      <w:r>
        <w:t>9.1 公共 AI 服务</w:t>
      </w:r>
    </w:p>
    <w:p>
      <w:r>
        <w:t>平台 AI 服务负责连接配置、密钥引用、模型请求、流式事件、取消、超时、有限重试和使用记录。小说提示词、正文证据选择及候选采用由墨稿负责。其他模块可以不声明 ai.request，平台不能在后台默认对所有内容做 AI 分析。</w:t>
      </w:r>
    </w:p>
    <w:p>
      <w:r>
        <w:t>API 密钥保存在系统凭据存储，由 Rust 获取；普通数据库只存 secretRef。凭据存储不可用时允许本次会话使用内存密钥，明确显示未保存，绝不明文退回 localStorage、日志或备份。应用关闭清除会话密钥。UI 输入后只显示掩码，修改与删除凭据提供明确结果。</w:t>
      </w:r>
    </w:p>
    <w:p>
      <w:r>
        <w:t>自定义服务地址由用户明确配置，默认 https；localhost 或 127.0.0.1 可用于本地服务。其他 http 地址需用户知悉传输限制。请求不跟随跨来源重定向，密钥只发送到选定连接。日志只保存错误类型与状态码，不记录 Authorization 或完整请求正文。</w:t>
      </w:r>
    </w:p>
    <w:p>
      <w:pPr>
        <w:pStyle w:val="Heading2"/>
      </w:pPr>
      <w:r>
        <w:t>9.2 请求契约</w:t>
      </w:r>
    </w:p>
    <w:p>
      <w:r>
        <w:t>AiRequest 包含 requestId、moduleId、entityScope、connectionId、operation、messages、baseRevision、settingsRevision、maxOutput 和 timeout。模块按需传入正文，AI 服务不自行遍历资料。流式事件包含 requestId、sequence、type 和 payload，type 至少为 started、delta、completed、failed、cancelled。前端按请求归属和序号处理，completed 是唯一完整结束信号。</w:t>
      </w:r>
    </w:p>
    <w:p>
      <w:r>
        <w:t>首版同时最多运行 2 个 AI 请求，每个作品的同类写作操作最多 1 个。连接超时基线为 15 秒，无数据超时为 60 秒，总超时为 180 秒，可在设置中查看。只在未产生输出时允许最多 1 次自动重试；流式已产生输出后由用户手动重试，避免重复计费和误拼接。取消不表示提供商一定停止计费。</w:t>
      </w:r>
    </w:p>
    <w:p>
      <w:r>
        <w:t>操作状态为 pending、running、succeeded、failed、cancelled、interrupted；批量任务可增加 partial。用户取消后不接收可采用的完整结果。应用重启时 running 转为 interrupted，不自动恢复外部请求。待采用结果本地持久化，正文不受其失败影响。</w:t>
      </w:r>
    </w:p>
    <w:p>
      <w:pPr>
        <w:pStyle w:val="Heading2"/>
      </w:pPr>
      <w:r>
        <w:t>9.3 上下文与费用</w:t>
      </w:r>
    </w:p>
    <w:p>
      <w:r>
        <w:t>请求前可查看选中的设定、正文和资料片段，按模块操作选择，不默认上传整部作品。上下文由第 4 节编译器按预算构建。字符估计不能标成准确 token 数；实际用量只在提供商返回时记录。价格需用户配置，显示币种、单价日期和“估算”，无价格时只展示已知用量。</w:t>
      </w:r>
    </w:p>
    <w:p>
      <w:r>
        <w:t>首版不设置模型自主管理文件、执行命令或直接保存小说的工具能力。模型输出都是内容或结构化候选，持久化仍经领域校验与用户操作。提供商响应缺字段、非法 JSON 或引用不符时明确失败，不以空内容伪装成功。</w:t>
      </w:r>
    </w:p>
    <w:p>
      <w:bookmarkStart w:id="10" w:name="chapter_10"/>
      <w:pPr>
        <w:pStyle w:val="Heading1"/>
      </w:pPr>
      <w:r>
        <w:t>10 非功能要求与验证基线</w:t>
      </w:r>
      <w:bookmarkEnd w:id="10"/>
    </w:p>
    <w:p>
      <w:pPr>
        <w:pStyle w:val="Heading2"/>
      </w:pPr>
      <w:r>
        <w:t>10.1 性能与容量</w:t>
      </w:r>
    </w:p>
    <w:p>
      <w:r>
        <w:t>以下是首版验收目标，不是已测结果。基准机器为近年 4 核及以上、16 GB 内存、SSD；记录具体系统、硬件、构建模式及测试数据。正式打包版本测量，排除首次安装与迁移。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cantSplit/>
        </w:trPr>
        <w:tc>
          <w:tcPr>
            <w:tcW w:type="dxa" w:w="2232"/>
            <w:vAlign w:val="center"/>
            <w:tcMar>
              <w:top w:w="95" w:type="dxa"/>
              <w:bottom w:w="95" w:type="dxa"/>
              <w:left w:w="110" w:type="dxa"/>
              <w:right w:w="110" w:type="dxa"/>
            </w:tcMar>
            <w:shd w:fill="DBE8F0"/>
          </w:tcPr>
          <w:p>
            <w:pPr>
              <w:keepNext w:val="0"/>
              <w:spacing w:line="280" w:lineRule="exact" w:after="20" w:before="20"/>
            </w:pPr>
            <w:r>
              <w:rPr>
                <w:b/>
                <w:sz w:val="20"/>
              </w:rPr>
              <w:t>项目</w:t>
            </w:r>
          </w:p>
        </w:tc>
        <w:tc>
          <w:tcPr>
            <w:tcW w:type="dxa" w:w="7704"/>
            <w:vAlign w:val="center"/>
            <w:tcMar>
              <w:top w:w="95" w:type="dxa"/>
              <w:bottom w:w="95" w:type="dxa"/>
              <w:left w:w="110" w:type="dxa"/>
              <w:right w:w="110" w:type="dxa"/>
            </w:tcMar>
            <w:shd w:fill="DBE8F0"/>
          </w:tcPr>
          <w:p>
            <w:pPr>
              <w:keepNext w:val="0"/>
              <w:spacing w:line="280" w:lineRule="exact" w:after="20" w:before="20"/>
            </w:pPr>
            <w:r>
              <w:rPr>
                <w:b/>
                <w:sz w:val="20"/>
              </w:rPr>
              <w:t>目标与测试条件</w:t>
            </w:r>
          </w:p>
        </w:tc>
      </w:tr>
      <w:tr>
        <w:trPr>
          <w:cantSplit/>
        </w:trPr>
        <w:tc>
          <w:tcPr>
            <w:tcW w:type="dxa" w:w="2232"/>
            <w:vAlign w:val="center"/>
            <w:tcMar>
              <w:top w:w="95" w:type="dxa"/>
              <w:bottom w:w="95" w:type="dxa"/>
              <w:left w:w="110" w:type="dxa"/>
              <w:right w:w="110" w:type="dxa"/>
            </w:tcMar>
            <w:shd w:fill="FFFFFF"/>
          </w:tcPr>
          <w:p>
            <w:pPr>
              <w:keepNext w:val="0"/>
              <w:spacing w:line="280" w:lineRule="exact" w:after="20" w:before="20"/>
            </w:pPr>
            <w:r>
              <w:rPr>
                <w:sz w:val="20"/>
              </w:rPr>
              <w:t>冷启动</w:t>
            </w:r>
          </w:p>
        </w:tc>
        <w:tc>
          <w:tcPr>
            <w:tcW w:type="dxa" w:w="7704"/>
            <w:vAlign w:val="center"/>
            <w:tcMar>
              <w:top w:w="95" w:type="dxa"/>
              <w:bottom w:w="95" w:type="dxa"/>
              <w:left w:w="110" w:type="dxa"/>
              <w:right w:w="110" w:type="dxa"/>
            </w:tcMar>
            <w:shd w:fill="FFFFFF"/>
          </w:tcPr>
          <w:p>
            <w:pPr>
              <w:keepNext w:val="0"/>
              <w:spacing w:line="280" w:lineRule="exact" w:after="20" w:before="20"/>
            </w:pPr>
            <w:r>
              <w:rPr>
                <w:sz w:val="20"/>
              </w:rPr>
              <w:t>连续 10 次正常启动，至少 9 次在 3 秒内可操作</w:t>
            </w:r>
          </w:p>
        </w:tc>
      </w:tr>
      <w:tr>
        <w:trPr>
          <w:cantSplit/>
        </w:trPr>
        <w:tc>
          <w:tcPr>
            <w:tcW w:type="dxa" w:w="2232"/>
            <w:vAlign w:val="center"/>
            <w:tcMar>
              <w:top w:w="95" w:type="dxa"/>
              <w:bottom w:w="95" w:type="dxa"/>
              <w:left w:w="110" w:type="dxa"/>
              <w:right w:w="110" w:type="dxa"/>
            </w:tcMar>
            <w:shd w:fill="F6F8FA"/>
          </w:tcPr>
          <w:p>
            <w:pPr>
              <w:keepNext w:val="0"/>
              <w:spacing w:line="280" w:lineRule="exact" w:after="20" w:before="20"/>
            </w:pPr>
            <w:r>
              <w:rPr>
                <w:sz w:val="20"/>
              </w:rPr>
              <w:t>普通页面切换</w:t>
            </w:r>
          </w:p>
        </w:tc>
        <w:tc>
          <w:tcPr>
            <w:tcW w:type="dxa" w:w="7704"/>
            <w:vAlign w:val="center"/>
            <w:tcMar>
              <w:top w:w="95" w:type="dxa"/>
              <w:bottom w:w="95" w:type="dxa"/>
              <w:left w:w="110" w:type="dxa"/>
              <w:right w:w="110" w:type="dxa"/>
            </w:tcMar>
            <w:shd w:fill="F6F8FA"/>
          </w:tcPr>
          <w:p>
            <w:pPr>
              <w:keepNext w:val="0"/>
              <w:spacing w:line="280" w:lineRule="exact" w:after="20" w:before="20"/>
            </w:pPr>
            <w:r>
              <w:rPr>
                <w:sz w:val="20"/>
              </w:rPr>
              <w:t>50 次操作 p95 不超过 300 ms；不含大附件预览</w:t>
            </w:r>
          </w:p>
        </w:tc>
      </w:tr>
      <w:tr>
        <w:trPr>
          <w:cantSplit/>
        </w:trPr>
        <w:tc>
          <w:tcPr>
            <w:tcW w:type="dxa" w:w="2232"/>
            <w:vAlign w:val="center"/>
            <w:tcMar>
              <w:top w:w="95" w:type="dxa"/>
              <w:bottom w:w="95" w:type="dxa"/>
              <w:left w:w="110" w:type="dxa"/>
              <w:right w:w="110" w:type="dxa"/>
            </w:tcMar>
            <w:shd w:fill="FFFFFF"/>
          </w:tcPr>
          <w:p>
            <w:pPr>
              <w:keepNext w:val="0"/>
              <w:spacing w:line="280" w:lineRule="exact" w:after="20" w:before="20"/>
            </w:pPr>
            <w:r>
              <w:rPr>
                <w:sz w:val="20"/>
              </w:rPr>
              <w:t>全局搜索</w:t>
            </w:r>
          </w:p>
        </w:tc>
        <w:tc>
          <w:tcPr>
            <w:tcW w:type="dxa" w:w="7704"/>
            <w:vAlign w:val="center"/>
            <w:tcMar>
              <w:top w:w="95" w:type="dxa"/>
              <w:bottom w:w="95" w:type="dxa"/>
              <w:left w:w="110" w:type="dxa"/>
              <w:right w:w="110" w:type="dxa"/>
            </w:tcMar>
            <w:shd w:fill="FFFFFF"/>
          </w:tcPr>
          <w:p>
            <w:pPr>
              <w:keepNext w:val="0"/>
              <w:spacing w:line="280" w:lineRule="exact" w:after="20" w:before="20"/>
            </w:pPr>
            <w:r>
              <w:rPr>
                <w:sz w:val="20"/>
              </w:rPr>
              <w:t>100 项目 10000 资料 1000 笔记 5000 任务，查询 p95 不超过 1 秒</w:t>
            </w:r>
          </w:p>
        </w:tc>
      </w:tr>
      <w:tr>
        <w:trPr>
          <w:cantSplit/>
        </w:trPr>
        <w:tc>
          <w:tcPr>
            <w:tcW w:type="dxa" w:w="2232"/>
            <w:vAlign w:val="center"/>
            <w:tcMar>
              <w:top w:w="95" w:type="dxa"/>
              <w:bottom w:w="95" w:type="dxa"/>
              <w:left w:w="110" w:type="dxa"/>
              <w:right w:w="110" w:type="dxa"/>
            </w:tcMar>
            <w:shd w:fill="F6F8FA"/>
          </w:tcPr>
          <w:p>
            <w:pPr>
              <w:keepNext w:val="0"/>
              <w:spacing w:line="280" w:lineRule="exact" w:after="20" w:before="20"/>
            </w:pPr>
            <w:r>
              <w:rPr>
                <w:sz w:val="20"/>
              </w:rPr>
              <w:t>编辑</w:t>
            </w:r>
          </w:p>
        </w:tc>
        <w:tc>
          <w:tcPr>
            <w:tcW w:type="dxa" w:w="7704"/>
            <w:vAlign w:val="center"/>
            <w:tcMar>
              <w:top w:w="95" w:type="dxa"/>
              <w:bottom w:w="95" w:type="dxa"/>
              <w:left w:w="110" w:type="dxa"/>
              <w:right w:w="110" w:type="dxa"/>
            </w:tcMar>
            <w:shd w:fill="F6F8FA"/>
          </w:tcPr>
          <w:p>
            <w:pPr>
              <w:keepNext w:val="0"/>
              <w:spacing w:line="280" w:lineRule="exact" w:after="20" w:before="20"/>
            </w:pPr>
            <w:r>
              <w:rPr>
                <w:sz w:val="20"/>
              </w:rPr>
              <w:t>单章 20000 中文字符，持续输入及组合输入不明显卡顿；不得每个按键扫描全书</w:t>
            </w:r>
          </w:p>
        </w:tc>
      </w:tr>
      <w:tr>
        <w:trPr>
          <w:cantSplit/>
        </w:trPr>
        <w:tc>
          <w:tcPr>
            <w:tcW w:type="dxa" w:w="2232"/>
            <w:vAlign w:val="center"/>
            <w:tcMar>
              <w:top w:w="95" w:type="dxa"/>
              <w:bottom w:w="95" w:type="dxa"/>
              <w:left w:w="110" w:type="dxa"/>
              <w:right w:w="110" w:type="dxa"/>
            </w:tcMar>
            <w:shd w:fill="FFFFFF"/>
          </w:tcPr>
          <w:p>
            <w:pPr>
              <w:keepNext w:val="0"/>
              <w:spacing w:line="280" w:lineRule="exact" w:after="20" w:before="20"/>
            </w:pPr>
            <w:r>
              <w:rPr>
                <w:sz w:val="20"/>
              </w:rPr>
              <w:t>长篇容量</w:t>
            </w:r>
          </w:p>
        </w:tc>
        <w:tc>
          <w:tcPr>
            <w:tcW w:type="dxa" w:w="7704"/>
            <w:vAlign w:val="center"/>
            <w:tcMar>
              <w:top w:w="95" w:type="dxa"/>
              <w:bottom w:w="95" w:type="dxa"/>
              <w:left w:w="110" w:type="dxa"/>
              <w:right w:w="110" w:type="dxa"/>
            </w:tcMar>
            <w:shd w:fill="FFFFFF"/>
          </w:tcPr>
          <w:p>
            <w:pPr>
              <w:keepNext w:val="0"/>
              <w:spacing w:line="280" w:lineRule="exact" w:after="20" w:before="20"/>
            </w:pPr>
            <w:r>
              <w:rPr>
                <w:sz w:val="20"/>
              </w:rPr>
              <w:t>1000 章 总计 200 万中文字符；树与书架分页，打开一章不加载全书正文</w:t>
            </w:r>
          </w:p>
        </w:tc>
      </w:tr>
      <w:tr>
        <w:trPr>
          <w:cantSplit/>
        </w:trPr>
        <w:tc>
          <w:tcPr>
            <w:tcW w:type="dxa" w:w="2232"/>
            <w:vAlign w:val="center"/>
            <w:tcMar>
              <w:top w:w="95" w:type="dxa"/>
              <w:bottom w:w="95" w:type="dxa"/>
              <w:left w:w="110" w:type="dxa"/>
              <w:right w:w="110" w:type="dxa"/>
            </w:tcMar>
            <w:shd w:fill="F6F8FA"/>
          </w:tcPr>
          <w:p>
            <w:pPr>
              <w:keepNext w:val="0"/>
              <w:spacing w:line="280" w:lineRule="exact" w:after="20" w:before="20"/>
            </w:pPr>
            <w:r>
              <w:rPr>
                <w:sz w:val="20"/>
              </w:rPr>
              <w:t>任务响应</w:t>
            </w:r>
          </w:p>
        </w:tc>
        <w:tc>
          <w:tcPr>
            <w:tcW w:type="dxa" w:w="7704"/>
            <w:vAlign w:val="center"/>
            <w:tcMar>
              <w:top w:w="95" w:type="dxa"/>
              <w:bottom w:w="95" w:type="dxa"/>
              <w:left w:w="110" w:type="dxa"/>
              <w:right w:w="110" w:type="dxa"/>
            </w:tcMar>
            <w:shd w:fill="F6F8FA"/>
          </w:tcPr>
          <w:p>
            <w:pPr>
              <w:keepNext w:val="0"/>
              <w:spacing w:line="280" w:lineRule="exact" w:after="20" w:before="20"/>
            </w:pPr>
            <w:r>
              <w:rPr>
                <w:sz w:val="20"/>
              </w:rPr>
              <w:t>长任务后台执行，取消在下一个安全点响应；通常 3 秒内反馈正在停止</w:t>
            </w:r>
          </w:p>
        </w:tc>
      </w:tr>
      <w:tr>
        <w:trPr>
          <w:cantSplit/>
        </w:trPr>
        <w:tc>
          <w:tcPr>
            <w:tcW w:type="dxa" w:w="2232"/>
            <w:vAlign w:val="center"/>
            <w:tcMar>
              <w:top w:w="95" w:type="dxa"/>
              <w:bottom w:w="95" w:type="dxa"/>
              <w:left w:w="110" w:type="dxa"/>
              <w:right w:w="110" w:type="dxa"/>
            </w:tcMar>
            <w:shd w:fill="FFFFFF"/>
          </w:tcPr>
          <w:p>
            <w:pPr>
              <w:keepNext w:val="0"/>
              <w:spacing w:line="280" w:lineRule="exact" w:after="20" w:before="20"/>
            </w:pPr>
            <w:r>
              <w:rPr>
                <w:sz w:val="20"/>
              </w:rPr>
              <w:t>保存</w:t>
            </w:r>
          </w:p>
        </w:tc>
        <w:tc>
          <w:tcPr>
            <w:tcW w:type="dxa" w:w="7704"/>
            <w:vAlign w:val="center"/>
            <w:tcMar>
              <w:top w:w="95" w:type="dxa"/>
              <w:bottom w:w="95" w:type="dxa"/>
              <w:left w:w="110" w:type="dxa"/>
              <w:right w:w="110" w:type="dxa"/>
            </w:tcMar>
            <w:shd w:fill="FFFFFF"/>
          </w:tcPr>
          <w:p>
            <w:pPr>
              <w:keepNext w:val="0"/>
              <w:spacing w:line="280" w:lineRule="exact" w:after="20" w:before="20"/>
            </w:pPr>
            <w:r>
              <w:rPr>
                <w:sz w:val="20"/>
              </w:rPr>
              <w:t>10000 字笔记或章节本地保存 p95 不超过 500 ms；失败状态可见</w:t>
            </w:r>
          </w:p>
        </w:tc>
      </w:tr>
    </w:tbl>
    <w:p>
      <w:pPr>
        <w:spacing w:after="60" w:before="0" w:line="60" w:lineRule="exact"/>
      </w:pPr>
      <w:r>
        <w:rPr>
          <w:sz w:val="6"/>
        </w:rPr>
      </w:r>
    </w:p>
    <w:p>
      <w:r>
        <w:t>性能目标未通过时，先定位查询、序列化和索引瓶颈并修复；需要调整时提交实测证据与决策记录，不能自行改低指标后宣布验收完成。AI 速度与提供商有关，不计入普通页面与保存指标。</w:t>
      </w:r>
    </w:p>
    <w:p>
      <w:pPr>
        <w:pStyle w:val="Heading2"/>
      </w:pPr>
      <w:r>
        <w:t>10.2 可靠性</w:t>
      </w:r>
    </w:p>
    <w:p>
      <w:r>
        <w:t>必须验证保存回执、崩溃恢复、版本冲突、磁盘写入失败、数据库迁移失败、缺失附件及损坏备份。长任务失败保留已提交内容并报告部分成功范围。多个窗口或第二个应用进程不能并发写同一空间，首版使用单实例与单工作空间写锁。</w:t>
      </w:r>
    </w:p>
    <w:p>
      <w:r>
        <w:t>全局搜索与派生摘要都是投影，损坏时可重建而不损坏正文。生产错误要有稳定编号和可重试动作。应用启动失败不自动创建一个新空库来掩盖原库无法打开的问题。</w:t>
      </w:r>
    </w:p>
    <w:p>
      <w:pPr>
        <w:pStyle w:val="Heading2"/>
      </w:pPr>
      <w:r>
        <w:t>10.3 安全与隐私</w:t>
      </w:r>
    </w:p>
    <w:p>
      <w:r>
        <w:t>界面使用明确的 Tauri capabilities 与 CSP，仅授予所需原生能力。Rust 命令校验输入、路径及实体归属。禁止远程网页获得本地文件或命令权限；外部网页在系统浏览器打开。渲染用户内容时不执行脚本，富文本允许节点与导出 HTML 均受白名单约束。</w:t>
      </w:r>
    </w:p>
    <w:p>
      <w:r>
        <w:t>本地数据库和附件首版不提供应用级全文加密，依靠系统账户与磁盘保护；界面不把普通备份称为加密备份。密钥单独存放。清除 AI 凭据与删除作品是不同动作。平台默认无遥测、无后台内容上传，诊断由用户主动导出。</w:t>
      </w:r>
    </w:p>
    <w:p>
      <w:pPr>
        <w:pStyle w:val="Heading2"/>
      </w:pPr>
      <w:r>
        <w:t>10.4 可维护性与兼容性</w:t>
      </w:r>
    </w:p>
    <w:p>
      <w:r>
        <w:t>TypeScript strict、前端类型检查、Rust 格式检查、clippy 与关键测试均通过。依赖锁文件提交，基础功能依赖不能反向引用小说目录。公共接口通过小规模契约测试覆盖空值、枚举、ID 和错误。重要决策记录理由与替代方案，组件按职责拆分，不以统一行数限制代替设计。</w:t>
      </w:r>
    </w:p>
    <w:p>
      <w:r>
        <w:t>macOS 为先验收平台，Windows 使用独立构建环境验证中文路径、文件对话框、快捷键、凭据存储、备份与安装。WebView 下中文输入、富文本选区及拖入文件需实测。Linux 与移动端列为后续。安装包能生成不代表签名与公证已完成；公开分发凭据需要另行提供。</w:t>
      </w:r>
    </w:p>
    <w:p>
      <w:bookmarkStart w:id="11" w:name="chapter_11"/>
      <w:pPr>
        <w:pStyle w:val="Heading1"/>
      </w:pPr>
      <w:r>
        <w:t>11 验收矩阵</w:t>
      </w:r>
      <w:bookmarkEnd w:id="11"/>
    </w:p>
    <w:p>
      <w:pPr>
        <w:pStyle w:val="Heading2"/>
      </w:pPr>
      <w:r>
        <w:t>11.1 基础版验收</w:t>
      </w:r>
    </w:p>
    <w:p>
      <w:r>
        <w:t>测试使用独立临时工作空间，正常流程和失败注入都记录版本、步骤、预期、实际与证据。下列所有 AC01 至 AC12 通过，才能交付基础版。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656"/>
        <w:gridCol w:w="7272"/>
      </w:tblGrid>
      <w:tr>
        <w:trPr>
          <w:tblHeader/>
          <w:cantSplit/>
        </w:trPr>
        <w:tc>
          <w:tcPr>
            <w:tcW w:type="dxa" w:w="1008"/>
            <w:vAlign w:val="center"/>
            <w:tcMar>
              <w:top w:w="95" w:type="dxa"/>
              <w:bottom w:w="95" w:type="dxa"/>
              <w:left w:w="110" w:type="dxa"/>
              <w:right w:w="110" w:type="dxa"/>
            </w:tcMar>
            <w:shd w:fill="DBE8F0"/>
          </w:tcPr>
          <w:p>
            <w:pPr>
              <w:keepNext w:val="0"/>
              <w:spacing w:line="280" w:lineRule="exact" w:after="20" w:before="20"/>
              <w:jc w:val="center"/>
            </w:pPr>
            <w:r>
              <w:rPr>
                <w:b/>
                <w:sz w:val="20"/>
              </w:rPr>
              <w:t>编号</w:t>
            </w:r>
          </w:p>
        </w:tc>
        <w:tc>
          <w:tcPr>
            <w:tcW w:type="dxa" w:w="1656"/>
            <w:vAlign w:val="center"/>
            <w:tcMar>
              <w:top w:w="95" w:type="dxa"/>
              <w:bottom w:w="95" w:type="dxa"/>
              <w:left w:w="110" w:type="dxa"/>
              <w:right w:w="110" w:type="dxa"/>
            </w:tcMar>
            <w:shd w:fill="DBE8F0"/>
          </w:tcPr>
          <w:p>
            <w:pPr>
              <w:keepNext w:val="0"/>
              <w:spacing w:line="280" w:lineRule="exact" w:after="20" w:before="20"/>
            </w:pPr>
            <w:r>
              <w:rPr>
                <w:b/>
                <w:sz w:val="20"/>
              </w:rPr>
              <w:t>对应要求</w:t>
            </w:r>
          </w:p>
        </w:tc>
        <w:tc>
          <w:tcPr>
            <w:tcW w:type="dxa" w:w="7272"/>
            <w:vAlign w:val="center"/>
            <w:tcMar>
              <w:top w:w="95" w:type="dxa"/>
              <w:bottom w:w="95" w:type="dxa"/>
              <w:left w:w="110" w:type="dxa"/>
              <w:right w:w="110" w:type="dxa"/>
            </w:tcMar>
            <w:shd w:fill="DBE8F0"/>
          </w:tcPr>
          <w:p>
            <w:pPr>
              <w:keepNext w:val="0"/>
              <w:spacing w:line="280" w:lineRule="exact" w:after="20" w:before="20"/>
            </w:pPr>
            <w:r>
              <w:rPr>
                <w:b/>
                <w:sz w:val="20"/>
              </w:rPr>
              <w:t>操作与通过条件</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AC01</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B01 B02 B05</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创建项目及任务，首页显示真实数据；重启后恢复有效页面</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AC02</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B02 B03 B04</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同一资料关联两个项目，删除一个关联不丢资料；项目归档可搜索</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AC03</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B03</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导入文件并修改原文件，托管副本不变；复制失败不留成功记录</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AC04</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B04</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中文连续输入并切页，保存内容完整；迟到回执不清除新的未保存状态</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AC05</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B04</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使用旧 revision 保存，显示冲突并保留两份稿；不静默覆盖</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AC06</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B05 B08</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截止日与完成状态正确，跨时区显示规则一致；偏好重启保持</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AC07</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B06</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中文子串命中笔记，过滤及跳转正确；索引删除后可重建</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AC08</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B07</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测试模块启停和报错不影响基础功能；停用时处理未保存稿</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AC09</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B09</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软删除与恢复保持关联；永久删除共享资料时不丢其他附件引用</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AC10</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B09</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新安装完整恢复，实体数量 关联及附件哈希一致；密钥未导出</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AC11</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B09 B10</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损坏 越界路径或未来版本备份拒绝导入，原空间保持完整</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AC12</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全部 B 类</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断网且无业务模块，完成学习项目完整流程；布局 键盘及错误状态通过</w:t>
            </w:r>
          </w:p>
        </w:tc>
      </w:tr>
    </w:tbl>
    <w:p>
      <w:pPr>
        <w:spacing w:after="60" w:before="0" w:line="60" w:lineRule="exact"/>
      </w:pPr>
      <w:r>
        <w:rPr>
          <w:sz w:val="6"/>
        </w:rPr>
      </w:r>
    </w:p>
    <w:p>
      <w:r>
        <w:t>AC12 还必须检查 B08 的主题、字号、快捷键冲突，以及 B10 的引导、版本和脱敏诊断。任何正式按钮都必须有真实持久化或明确的受支持操作。</w:t>
      </w:r>
    </w:p>
    <w:p>
      <w:pPr>
        <w:pStyle w:val="Heading2"/>
      </w:pPr>
      <w:r>
        <w:t>11.2 小说版验收</w:t>
      </w:r>
    </w:p>
    <w:p>
      <w:r>
        <w:t>所有 AC13 至 AC22 在基础版验收通过后执行。AI 规则可用固定 mock 验证，至少另完成一次真实服务连通与取消验证；没有凭据时真实验证标为待验证，不能声称通过。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656"/>
        <w:gridCol w:w="7272"/>
      </w:tblGrid>
      <w:tr>
        <w:trPr>
          <w:tblHeader/>
          <w:cantSplit/>
        </w:trPr>
        <w:tc>
          <w:tcPr>
            <w:tcW w:type="dxa" w:w="1008"/>
            <w:vAlign w:val="center"/>
            <w:tcMar>
              <w:top w:w="95" w:type="dxa"/>
              <w:bottom w:w="95" w:type="dxa"/>
              <w:left w:w="110" w:type="dxa"/>
              <w:right w:w="110" w:type="dxa"/>
            </w:tcMar>
            <w:shd w:fill="DBE8F0"/>
          </w:tcPr>
          <w:p>
            <w:pPr>
              <w:keepNext w:val="0"/>
              <w:spacing w:line="280" w:lineRule="exact" w:after="20" w:before="20"/>
              <w:jc w:val="center"/>
            </w:pPr>
            <w:r>
              <w:rPr>
                <w:b/>
                <w:sz w:val="20"/>
              </w:rPr>
              <w:t>编号</w:t>
            </w:r>
          </w:p>
        </w:tc>
        <w:tc>
          <w:tcPr>
            <w:tcW w:type="dxa" w:w="1656"/>
            <w:vAlign w:val="center"/>
            <w:tcMar>
              <w:top w:w="95" w:type="dxa"/>
              <w:bottom w:w="95" w:type="dxa"/>
              <w:left w:w="110" w:type="dxa"/>
              <w:right w:w="110" w:type="dxa"/>
            </w:tcMar>
            <w:shd w:fill="DBE8F0"/>
          </w:tcPr>
          <w:p>
            <w:pPr>
              <w:keepNext w:val="0"/>
              <w:spacing w:line="280" w:lineRule="exact" w:after="20" w:before="20"/>
            </w:pPr>
            <w:r>
              <w:rPr>
                <w:b/>
                <w:sz w:val="20"/>
              </w:rPr>
              <w:t>对应要求</w:t>
            </w:r>
          </w:p>
        </w:tc>
        <w:tc>
          <w:tcPr>
            <w:tcW w:type="dxa" w:w="7272"/>
            <w:vAlign w:val="center"/>
            <w:tcMar>
              <w:top w:w="95" w:type="dxa"/>
              <w:bottom w:w="95" w:type="dxa"/>
              <w:left w:w="110" w:type="dxa"/>
              <w:right w:w="110" w:type="dxa"/>
            </w:tcMar>
            <w:shd w:fill="DBE8F0"/>
          </w:tcPr>
          <w:p>
            <w:pPr>
              <w:keepNext w:val="0"/>
              <w:spacing w:line="280" w:lineRule="exact" w:after="20" w:before="20"/>
            </w:pPr>
            <w:r>
              <w:rPr>
                <w:b/>
                <w:sz w:val="20"/>
              </w:rPr>
              <w:t>操作与通过条件</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AC13</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N01 N02</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建作品 卷与章节，修改排序并重启，正文和顺序保持；断网可写作</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AC14</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N02</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手动版本 恢复及采用前快照完整，恢复建立新 revision，不改旧版本</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AC15</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N03</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更新设定递增版本，大纲计划没有进入已发生事实</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AC16</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N04</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TXT 分章预览后导入，失败整体回滚；导出等待即时稿保存</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AC17</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N05 N06</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续写 选段润色 大纲草案进入候选区，拒绝不改正文，采用一次仅写入一次</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AC18</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N06</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请求后改正文或设定，旧候选不能替换；切章后迟到结果不串章</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AC19</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N07</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摘要任务失败保留正文，重试有来源；不存在的引用不能确认</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AC20</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N07 N08</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改写来源章使旧事实过期，生成排除过期及截止章之后的经历</w:t>
            </w:r>
          </w:p>
        </w:tc>
      </w:tr>
      <w:tr>
        <w:trPr>
          <w:cantSplit/>
        </w:trPr>
        <w:tc>
          <w:tcPr>
            <w:tcW w:type="dxa" w:w="1008"/>
            <w:vAlign w:val="center"/>
            <w:tcMar>
              <w:top w:w="95" w:type="dxa"/>
              <w:bottom w:w="95" w:type="dxa"/>
              <w:left w:w="110" w:type="dxa"/>
              <w:right w:w="110" w:type="dxa"/>
            </w:tcMar>
            <w:shd w:fill="FFFFFF"/>
          </w:tcPr>
          <w:p>
            <w:pPr>
              <w:keepNext w:val="0"/>
              <w:spacing w:line="280" w:lineRule="exact" w:after="20" w:before="20"/>
              <w:jc w:val="center"/>
            </w:pPr>
            <w:r>
              <w:rPr>
                <w:sz w:val="20"/>
              </w:rPr>
              <w:t>AC21</w:t>
            </w:r>
          </w:p>
        </w:tc>
        <w:tc>
          <w:tcPr>
            <w:tcW w:type="dxa" w:w="1656"/>
            <w:vAlign w:val="center"/>
            <w:tcMar>
              <w:top w:w="95" w:type="dxa"/>
              <w:bottom w:w="95" w:type="dxa"/>
              <w:left w:w="110" w:type="dxa"/>
              <w:right w:w="110" w:type="dxa"/>
            </w:tcMar>
            <w:shd w:fill="FFFFFF"/>
          </w:tcPr>
          <w:p>
            <w:pPr>
              <w:keepNext w:val="0"/>
              <w:spacing w:line="280" w:lineRule="exact" w:after="20" w:before="20"/>
            </w:pPr>
            <w:r>
              <w:rPr>
                <w:sz w:val="20"/>
              </w:rPr>
              <w:t>B07 B09 N04</w:t>
            </w:r>
          </w:p>
        </w:tc>
        <w:tc>
          <w:tcPr>
            <w:tcW w:type="dxa" w:w="7272"/>
            <w:vAlign w:val="center"/>
            <w:tcMar>
              <w:top w:w="95" w:type="dxa"/>
              <w:bottom w:w="95" w:type="dxa"/>
              <w:left w:w="110" w:type="dxa"/>
              <w:right w:w="110" w:type="dxa"/>
            </w:tcMar>
            <w:shd w:fill="FFFFFF"/>
          </w:tcPr>
          <w:p>
            <w:pPr>
              <w:keepNext w:val="0"/>
              <w:spacing w:line="280" w:lineRule="exact" w:after="20" w:before="20"/>
            </w:pPr>
            <w:r>
              <w:rPr>
                <w:sz w:val="20"/>
              </w:rPr>
              <w:t>停用保留作品，再启用继续写作；完整备份恢复小说版本与关联</w:t>
            </w:r>
          </w:p>
        </w:tc>
      </w:tr>
      <w:tr>
        <w:trPr>
          <w:cantSplit/>
        </w:trPr>
        <w:tc>
          <w:tcPr>
            <w:tcW w:type="dxa" w:w="1008"/>
            <w:vAlign w:val="center"/>
            <w:tcMar>
              <w:top w:w="95" w:type="dxa"/>
              <w:bottom w:w="95" w:type="dxa"/>
              <w:left w:w="110" w:type="dxa"/>
              <w:right w:w="110" w:type="dxa"/>
            </w:tcMar>
            <w:shd w:fill="F6F8FA"/>
          </w:tcPr>
          <w:p>
            <w:pPr>
              <w:keepNext w:val="0"/>
              <w:spacing w:line="280" w:lineRule="exact" w:after="20" w:before="20"/>
              <w:jc w:val="center"/>
            </w:pPr>
            <w:r>
              <w:rPr>
                <w:sz w:val="20"/>
              </w:rPr>
              <w:t>AC22</w:t>
            </w:r>
          </w:p>
        </w:tc>
        <w:tc>
          <w:tcPr>
            <w:tcW w:type="dxa" w:w="1656"/>
            <w:vAlign w:val="center"/>
            <w:tcMar>
              <w:top w:w="95" w:type="dxa"/>
              <w:bottom w:w="95" w:type="dxa"/>
              <w:left w:w="110" w:type="dxa"/>
              <w:right w:w="110" w:type="dxa"/>
            </w:tcMar>
            <w:shd w:fill="F6F8FA"/>
          </w:tcPr>
          <w:p>
            <w:pPr>
              <w:keepNext w:val="0"/>
              <w:spacing w:line="280" w:lineRule="exact" w:after="20" w:before="20"/>
            </w:pPr>
            <w:r>
              <w:rPr>
                <w:sz w:val="20"/>
              </w:rPr>
              <w:t>N05 至 N08</w:t>
            </w:r>
          </w:p>
        </w:tc>
        <w:tc>
          <w:tcPr>
            <w:tcW w:type="dxa" w:w="7272"/>
            <w:vAlign w:val="center"/>
            <w:tcMar>
              <w:top w:w="95" w:type="dxa"/>
              <w:bottom w:w="95" w:type="dxa"/>
              <w:left w:w="110" w:type="dxa"/>
              <w:right w:w="110" w:type="dxa"/>
            </w:tcMar>
            <w:shd w:fill="F6F8FA"/>
          </w:tcPr>
          <w:p>
            <w:pPr>
              <w:keepNext w:val="0"/>
              <w:spacing w:line="280" w:lineRule="exact" w:after="20" w:before="20"/>
            </w:pPr>
            <w:r>
              <w:rPr>
                <w:sz w:val="20"/>
              </w:rPr>
              <w:t>无密钥和服务故障时手动写作可用；取消 超时和部分输出有明确状态</w:t>
            </w:r>
          </w:p>
        </w:tc>
      </w:tr>
    </w:tbl>
    <w:p>
      <w:pPr>
        <w:spacing w:after="60" w:before="0" w:line="60" w:lineRule="exact"/>
      </w:pPr>
      <w:r>
        <w:rPr>
          <w:sz w:val="6"/>
        </w:rPr>
      </w:r>
    </w:p>
    <w:p>
      <w:pPr>
        <w:pStyle w:val="Heading2"/>
      </w:pPr>
      <w:r>
        <w:t>11.3 共用质量验收</w:t>
      </w:r>
    </w:p>
    <w:p>
      <w:r>
        <w:t>AC23 为平台性能与容量基线，按第 10 节执行。AC24 为迁移、异常退出、磁盘错误和恢复原空间验证。AC25 为 macOS 与 Windows 桌面实机检查，覆盖输入法、缩放、凭据和文件流程。小说版正式发布需 AC01 至 AC25 全部满足，公开签名分发另行安排。</w:t>
      </w:r>
    </w:p>
    <w:p>
      <w:r>
        <w:t>前端自动化可用 mock bridge 验证交互，Rust 测试验证真实 SQLite 和文件操作；这两者不能替代桌面实机测试。浏览器界面测试可采用 Playwright；桌面自动化优先验证官方文档推荐的 WebdriverIO Tauri service 与嵌入式 WebDriver方案，测试插件只进入测试构建。直接 tauri-driver 路线不支持 macOS，不能误列为 macOS 自动化完成。安装或环境受限时用明确记录的实机人工步骤完成验证。</w:t>
      </w:r>
    </w:p>
    <w:p>
      <w:bookmarkStart w:id="12" w:name="chapter_12"/>
      <w:pPr>
        <w:pStyle w:val="Heading1"/>
      </w:pPr>
      <w:r>
        <w:t>12 Codex 分阶段实施任务</w:t>
      </w:r>
      <w:bookmarkEnd w:id="12"/>
    </w:p>
    <w:p>
      <w:pPr>
        <w:pStyle w:val="Heading2"/>
      </w:pPr>
      <w:r>
        <w:t>12.1 实施规则</w:t>
      </w:r>
    </w:p>
    <w:p>
      <w:r>
        <w:t>Codex 从 S00 开始顺序实施，在每一阶段完成真实操作、适当测试与记录，再进入依赖阶段。正常的可逆实现无需逐项审批；发现范围改变、破坏性删除、公开发布或需要真实付费调用时，把具体影响提交给用户决定。不得用等待审批代替可以独立完成的开发工作。</w:t>
      </w:r>
    </w:p>
    <w:p>
      <w:r>
        <w:t>每阶段交付代码、关联要求、验证结果、截图或操作记录、已知限制及运行方式。维护 docs/implementation-status.md，状态为未开始、进行中、已完成、待验证；只在验收证据存在时标完成。</w:t>
      </w:r>
    </w:p>
    <w:p>
      <w:pPr>
        <w:pStyle w:val="Heading2"/>
      </w:pPr>
      <w:r>
        <w:t>12.2 阶段与交付条件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152"/>
        <w:gridCol w:w="3816"/>
        <w:gridCol w:w="3168"/>
      </w:tblGrid>
      <w:tr>
        <w:trPr>
          <w:tblHeader/>
          <w:cantSplit/>
        </w:trPr>
        <w:tc>
          <w:tcPr>
            <w:tcW w:type="dxa" w:w="1800"/>
            <w:vAlign w:val="center"/>
            <w:tcMar>
              <w:top w:w="95" w:type="dxa"/>
              <w:bottom w:w="95" w:type="dxa"/>
              <w:left w:w="110" w:type="dxa"/>
              <w:right w:w="110" w:type="dxa"/>
            </w:tcMar>
            <w:shd w:fill="DBE8F0"/>
          </w:tcPr>
          <w:p>
            <w:pPr>
              <w:keepNext w:val="0"/>
              <w:spacing w:line="280" w:lineRule="exact" w:after="20" w:before="20"/>
            </w:pPr>
            <w:r>
              <w:rPr>
                <w:b/>
                <w:sz w:val="20"/>
              </w:rPr>
              <w:t>阶段</w:t>
            </w:r>
          </w:p>
        </w:tc>
        <w:tc>
          <w:tcPr>
            <w:tcW w:type="dxa" w:w="1152"/>
            <w:vAlign w:val="center"/>
            <w:tcMar>
              <w:top w:w="95" w:type="dxa"/>
              <w:bottom w:w="95" w:type="dxa"/>
              <w:left w:w="110" w:type="dxa"/>
              <w:right w:w="110" w:type="dxa"/>
            </w:tcMar>
            <w:shd w:fill="DBE8F0"/>
          </w:tcPr>
          <w:p>
            <w:pPr>
              <w:keepNext w:val="0"/>
              <w:spacing w:line="280" w:lineRule="exact" w:after="20" w:before="20"/>
            </w:pPr>
            <w:r>
              <w:rPr>
                <w:b/>
                <w:sz w:val="20"/>
              </w:rPr>
              <w:t>依赖</w:t>
            </w:r>
          </w:p>
        </w:tc>
        <w:tc>
          <w:tcPr>
            <w:tcW w:type="dxa" w:w="3816"/>
            <w:vAlign w:val="center"/>
            <w:tcMar>
              <w:top w:w="95" w:type="dxa"/>
              <w:bottom w:w="95" w:type="dxa"/>
              <w:left w:w="110" w:type="dxa"/>
              <w:right w:w="110" w:type="dxa"/>
            </w:tcMar>
            <w:shd w:fill="DBE8F0"/>
          </w:tcPr>
          <w:p>
            <w:pPr>
              <w:keepNext w:val="0"/>
              <w:spacing w:line="280" w:lineRule="exact" w:after="20" w:before="20"/>
            </w:pPr>
            <w:r>
              <w:rPr>
                <w:b/>
                <w:sz w:val="20"/>
              </w:rPr>
              <w:t>交付内容</w:t>
            </w:r>
          </w:p>
        </w:tc>
        <w:tc>
          <w:tcPr>
            <w:tcW w:type="dxa" w:w="3168"/>
            <w:vAlign w:val="center"/>
            <w:tcMar>
              <w:top w:w="95" w:type="dxa"/>
              <w:bottom w:w="95" w:type="dxa"/>
              <w:left w:w="110" w:type="dxa"/>
              <w:right w:w="110" w:type="dxa"/>
            </w:tcMar>
            <w:shd w:fill="DBE8F0"/>
          </w:tcPr>
          <w:p>
            <w:pPr>
              <w:keepNext w:val="0"/>
              <w:spacing w:line="280" w:lineRule="exact" w:after="20" w:before="20"/>
            </w:pPr>
            <w:r>
              <w:rPr>
                <w:b/>
                <w:sz w:val="20"/>
              </w:rPr>
              <w:t>阶段通过条件</w:t>
            </w:r>
          </w:p>
        </w:tc>
      </w:tr>
      <w:tr>
        <w:trPr>
          <w:cantSplit/>
        </w:trPr>
        <w:tc>
          <w:tcPr>
            <w:tcW w:type="dxa" w:w="1800"/>
            <w:vAlign w:val="center"/>
            <w:tcMar>
              <w:top w:w="95" w:type="dxa"/>
              <w:bottom w:w="95" w:type="dxa"/>
              <w:left w:w="110" w:type="dxa"/>
              <w:right w:w="110" w:type="dxa"/>
            </w:tcMar>
            <w:shd w:fill="FFFFFF"/>
          </w:tcPr>
          <w:p>
            <w:pPr>
              <w:keepNext w:val="0"/>
              <w:spacing w:line="280" w:lineRule="exact" w:after="20" w:before="20"/>
            </w:pPr>
            <w:r>
              <w:rPr>
                <w:sz w:val="20"/>
              </w:rPr>
              <w:t>S00 技术验证</w:t>
            </w:r>
          </w:p>
        </w:tc>
        <w:tc>
          <w:tcPr>
            <w:tcW w:type="dxa" w:w="1152"/>
            <w:vAlign w:val="center"/>
            <w:tcMar>
              <w:top w:w="95" w:type="dxa"/>
              <w:bottom w:w="95" w:type="dxa"/>
              <w:left w:w="110" w:type="dxa"/>
              <w:right w:w="110" w:type="dxa"/>
            </w:tcMar>
            <w:shd w:fill="FFFFFF"/>
          </w:tcPr>
          <w:p>
            <w:pPr>
              <w:keepNext w:val="0"/>
              <w:spacing w:line="280" w:lineRule="exact" w:after="20" w:before="20"/>
            </w:pPr>
            <w:r>
              <w:rPr>
                <w:sz w:val="20"/>
              </w:rPr>
              <w:t>无</w:t>
            </w:r>
          </w:p>
        </w:tc>
        <w:tc>
          <w:tcPr>
            <w:tcW w:type="dxa" w:w="3816"/>
            <w:vAlign w:val="center"/>
            <w:tcMar>
              <w:top w:w="95" w:type="dxa"/>
              <w:bottom w:w="95" w:type="dxa"/>
              <w:left w:w="110" w:type="dxa"/>
              <w:right w:w="110" w:type="dxa"/>
            </w:tcMar>
            <w:shd w:fill="FFFFFF"/>
          </w:tcPr>
          <w:p>
            <w:pPr>
              <w:keepNext w:val="0"/>
              <w:spacing w:line="280" w:lineRule="exact" w:after="20" w:before="20"/>
            </w:pPr>
            <w:r>
              <w:rPr>
                <w:sz w:val="20"/>
              </w:rPr>
              <w:t>固定版本 Tauri Rust React SQLite 编辑器最小纵向样例</w:t>
            </w:r>
          </w:p>
        </w:tc>
        <w:tc>
          <w:tcPr>
            <w:tcW w:type="dxa" w:w="3168"/>
            <w:vAlign w:val="center"/>
            <w:tcMar>
              <w:top w:w="95" w:type="dxa"/>
              <w:bottom w:w="95" w:type="dxa"/>
              <w:left w:w="110" w:type="dxa"/>
              <w:right w:w="110" w:type="dxa"/>
            </w:tcMar>
            <w:shd w:fill="FFFFFF"/>
          </w:tcPr>
          <w:p>
            <w:pPr>
              <w:keepNext w:val="0"/>
              <w:spacing w:line="280" w:lineRule="exact" w:after="20" w:before="20"/>
            </w:pPr>
            <w:r>
              <w:rPr>
                <w:sz w:val="20"/>
              </w:rPr>
              <w:t>命令调用 保存重启 中文输入可用；记录双平台风险</w:t>
            </w:r>
          </w:p>
        </w:tc>
      </w:tr>
      <w:tr>
        <w:trPr>
          <w:cantSplit/>
        </w:trPr>
        <w:tc>
          <w:tcPr>
            <w:tcW w:type="dxa" w:w="1800"/>
            <w:vAlign w:val="center"/>
            <w:tcMar>
              <w:top w:w="95" w:type="dxa"/>
              <w:bottom w:w="95" w:type="dxa"/>
              <w:left w:w="110" w:type="dxa"/>
              <w:right w:w="110" w:type="dxa"/>
            </w:tcMar>
            <w:shd w:fill="F6F8FA"/>
          </w:tcPr>
          <w:p>
            <w:pPr>
              <w:keepNext w:val="0"/>
              <w:spacing w:line="280" w:lineRule="exact" w:after="20" w:before="20"/>
            </w:pPr>
            <w:r>
              <w:rPr>
                <w:sz w:val="20"/>
              </w:rPr>
              <w:t>S01 平台骨架</w:t>
            </w:r>
          </w:p>
        </w:tc>
        <w:tc>
          <w:tcPr>
            <w:tcW w:type="dxa" w:w="1152"/>
            <w:vAlign w:val="center"/>
            <w:tcMar>
              <w:top w:w="95" w:type="dxa"/>
              <w:bottom w:w="95" w:type="dxa"/>
              <w:left w:w="110" w:type="dxa"/>
              <w:right w:w="110" w:type="dxa"/>
            </w:tcMar>
            <w:shd w:fill="F6F8FA"/>
          </w:tcPr>
          <w:p>
            <w:pPr>
              <w:keepNext w:val="0"/>
              <w:spacing w:line="280" w:lineRule="exact" w:after="20" w:before="20"/>
            </w:pPr>
            <w:r>
              <w:rPr>
                <w:sz w:val="20"/>
              </w:rPr>
              <w:t>S00</w:t>
            </w:r>
          </w:p>
        </w:tc>
        <w:tc>
          <w:tcPr>
            <w:tcW w:type="dxa" w:w="3816"/>
            <w:vAlign w:val="center"/>
            <w:tcMar>
              <w:top w:w="95" w:type="dxa"/>
              <w:bottom w:w="95" w:type="dxa"/>
              <w:left w:w="110" w:type="dxa"/>
              <w:right w:w="110" w:type="dxa"/>
            </w:tcMar>
            <w:shd w:fill="F6F8FA"/>
          </w:tcPr>
          <w:p>
            <w:pPr>
              <w:keepNext w:val="0"/>
              <w:spacing w:line="280" w:lineRule="exact" w:after="20" w:before="20"/>
            </w:pPr>
            <w:r>
              <w:rPr>
                <w:sz w:val="20"/>
              </w:rPr>
              <w:t>目录分层 DTO AppError DB 工作线程 初始迁移 单实例</w:t>
            </w:r>
          </w:p>
        </w:tc>
        <w:tc>
          <w:tcPr>
            <w:tcW w:type="dxa" w:w="3168"/>
            <w:vAlign w:val="center"/>
            <w:tcMar>
              <w:top w:w="95" w:type="dxa"/>
              <w:bottom w:w="95" w:type="dxa"/>
              <w:left w:w="110" w:type="dxa"/>
              <w:right w:w="110" w:type="dxa"/>
            </w:tcMar>
            <w:shd w:fill="F6F8FA"/>
          </w:tcPr>
          <w:p>
            <w:pPr>
              <w:keepNext w:val="0"/>
              <w:spacing w:line="280" w:lineRule="exact" w:after="20" w:before="20"/>
            </w:pPr>
            <w:r>
              <w:rPr>
                <w:sz w:val="20"/>
              </w:rPr>
              <w:t>Rust 前端检查通过，真实事务与版本冲突测试通过</w:t>
            </w:r>
          </w:p>
        </w:tc>
      </w:tr>
      <w:tr>
        <w:trPr>
          <w:cantSplit/>
        </w:trPr>
        <w:tc>
          <w:tcPr>
            <w:tcW w:type="dxa" w:w="1800"/>
            <w:vAlign w:val="center"/>
            <w:tcMar>
              <w:top w:w="95" w:type="dxa"/>
              <w:bottom w:w="95" w:type="dxa"/>
              <w:left w:w="110" w:type="dxa"/>
              <w:right w:w="110" w:type="dxa"/>
            </w:tcMar>
            <w:shd w:fill="FFFFFF"/>
          </w:tcPr>
          <w:p>
            <w:pPr>
              <w:keepNext w:val="0"/>
              <w:spacing w:line="280" w:lineRule="exact" w:after="20" w:before="20"/>
            </w:pPr>
            <w:r>
              <w:rPr>
                <w:sz w:val="20"/>
              </w:rPr>
              <w:t>S02 项目与内容</w:t>
            </w:r>
          </w:p>
        </w:tc>
        <w:tc>
          <w:tcPr>
            <w:tcW w:type="dxa" w:w="1152"/>
            <w:vAlign w:val="center"/>
            <w:tcMar>
              <w:top w:w="95" w:type="dxa"/>
              <w:bottom w:w="95" w:type="dxa"/>
              <w:left w:w="110" w:type="dxa"/>
              <w:right w:w="110" w:type="dxa"/>
            </w:tcMar>
            <w:shd w:fill="FFFFFF"/>
          </w:tcPr>
          <w:p>
            <w:pPr>
              <w:keepNext w:val="0"/>
              <w:spacing w:line="280" w:lineRule="exact" w:after="20" w:before="20"/>
            </w:pPr>
            <w:r>
              <w:rPr>
                <w:sz w:val="20"/>
              </w:rPr>
              <w:t>S01</w:t>
            </w:r>
          </w:p>
        </w:tc>
        <w:tc>
          <w:tcPr>
            <w:tcW w:type="dxa" w:w="3816"/>
            <w:vAlign w:val="center"/>
            <w:tcMar>
              <w:top w:w="95" w:type="dxa"/>
              <w:bottom w:w="95" w:type="dxa"/>
              <w:left w:w="110" w:type="dxa"/>
              <w:right w:w="110" w:type="dxa"/>
            </w:tcMar>
            <w:shd w:fill="FFFFFF"/>
          </w:tcPr>
          <w:p>
            <w:pPr>
              <w:keepNext w:val="0"/>
              <w:spacing w:line="280" w:lineRule="exact" w:after="20" w:before="20"/>
            </w:pPr>
            <w:r>
              <w:rPr>
                <w:sz w:val="20"/>
              </w:rPr>
              <w:t>B02 B03 B04 B05，附件 资料关联 笔记与任务</w:t>
            </w:r>
          </w:p>
        </w:tc>
        <w:tc>
          <w:tcPr>
            <w:tcW w:type="dxa" w:w="3168"/>
            <w:vAlign w:val="center"/>
            <w:tcMar>
              <w:top w:w="95" w:type="dxa"/>
              <w:bottom w:w="95" w:type="dxa"/>
              <w:left w:w="110" w:type="dxa"/>
              <w:right w:w="110" w:type="dxa"/>
            </w:tcMar>
            <w:shd w:fill="FFFFFF"/>
          </w:tcPr>
          <w:p>
            <w:pPr>
              <w:keepNext w:val="0"/>
              <w:spacing w:line="280" w:lineRule="exact" w:after="20" w:before="20"/>
            </w:pPr>
            <w:r>
              <w:rPr>
                <w:sz w:val="20"/>
              </w:rPr>
              <w:t>AC02 至 AC06通过，实际保存不依赖内存假数据</w:t>
            </w:r>
          </w:p>
        </w:tc>
      </w:tr>
      <w:tr>
        <w:trPr>
          <w:cantSplit/>
        </w:trPr>
        <w:tc>
          <w:tcPr>
            <w:tcW w:type="dxa" w:w="1800"/>
            <w:vAlign w:val="center"/>
            <w:tcMar>
              <w:top w:w="95" w:type="dxa"/>
              <w:bottom w:w="95" w:type="dxa"/>
              <w:left w:w="110" w:type="dxa"/>
              <w:right w:w="110" w:type="dxa"/>
            </w:tcMar>
            <w:shd w:fill="F6F8FA"/>
          </w:tcPr>
          <w:p>
            <w:pPr>
              <w:keepNext w:val="0"/>
              <w:spacing w:line="280" w:lineRule="exact" w:after="20" w:before="20"/>
            </w:pPr>
            <w:r>
              <w:rPr>
                <w:sz w:val="20"/>
              </w:rPr>
              <w:t>S03 完整基础版</w:t>
            </w:r>
          </w:p>
        </w:tc>
        <w:tc>
          <w:tcPr>
            <w:tcW w:type="dxa" w:w="1152"/>
            <w:vAlign w:val="center"/>
            <w:tcMar>
              <w:top w:w="95" w:type="dxa"/>
              <w:bottom w:w="95" w:type="dxa"/>
              <w:left w:w="110" w:type="dxa"/>
              <w:right w:w="110" w:type="dxa"/>
            </w:tcMar>
            <w:shd w:fill="F6F8FA"/>
          </w:tcPr>
          <w:p>
            <w:pPr>
              <w:keepNext w:val="0"/>
              <w:spacing w:line="280" w:lineRule="exact" w:after="20" w:before="20"/>
            </w:pPr>
            <w:r>
              <w:rPr>
                <w:sz w:val="20"/>
              </w:rPr>
              <w:t>S02</w:t>
            </w:r>
          </w:p>
        </w:tc>
        <w:tc>
          <w:tcPr>
            <w:tcW w:type="dxa" w:w="3816"/>
            <w:vAlign w:val="center"/>
            <w:tcMar>
              <w:top w:w="95" w:type="dxa"/>
              <w:bottom w:w="95" w:type="dxa"/>
              <w:left w:w="110" w:type="dxa"/>
              <w:right w:w="110" w:type="dxa"/>
            </w:tcMar>
            <w:shd w:fill="F6F8FA"/>
          </w:tcPr>
          <w:p>
            <w:pPr>
              <w:keepNext w:val="0"/>
              <w:spacing w:line="280" w:lineRule="exact" w:after="20" w:before="20"/>
            </w:pPr>
            <w:r>
              <w:rPr>
                <w:sz w:val="20"/>
              </w:rPr>
              <w:t>B01 B06 B07 B08 B09 B10，搜索 备份与状态</w:t>
            </w:r>
          </w:p>
        </w:tc>
        <w:tc>
          <w:tcPr>
            <w:tcW w:type="dxa" w:w="3168"/>
            <w:vAlign w:val="center"/>
            <w:tcMar>
              <w:top w:w="95" w:type="dxa"/>
              <w:bottom w:w="95" w:type="dxa"/>
              <w:left w:w="110" w:type="dxa"/>
              <w:right w:w="110" w:type="dxa"/>
            </w:tcMar>
            <w:shd w:fill="F6F8FA"/>
          </w:tcPr>
          <w:p>
            <w:pPr>
              <w:keepNext w:val="0"/>
              <w:spacing w:line="280" w:lineRule="exact" w:after="20" w:before="20"/>
            </w:pPr>
            <w:r>
              <w:rPr>
                <w:sz w:val="20"/>
              </w:rPr>
              <w:t>AC01 至 AC12通过，模块全部停用仍可独立使用</w:t>
            </w:r>
          </w:p>
        </w:tc>
      </w:tr>
      <w:tr>
        <w:trPr>
          <w:cantSplit/>
        </w:trPr>
        <w:tc>
          <w:tcPr>
            <w:tcW w:type="dxa" w:w="1800"/>
            <w:vAlign w:val="center"/>
            <w:tcMar>
              <w:top w:w="95" w:type="dxa"/>
              <w:bottom w:w="95" w:type="dxa"/>
              <w:left w:w="110" w:type="dxa"/>
              <w:right w:w="110" w:type="dxa"/>
            </w:tcMar>
            <w:shd w:fill="FFFFFF"/>
          </w:tcPr>
          <w:p>
            <w:pPr>
              <w:keepNext w:val="0"/>
              <w:spacing w:line="280" w:lineRule="exact" w:after="20" w:before="20"/>
            </w:pPr>
            <w:r>
              <w:rPr>
                <w:sz w:val="20"/>
              </w:rPr>
              <w:t>S04 手动小说版</w:t>
            </w:r>
          </w:p>
        </w:tc>
        <w:tc>
          <w:tcPr>
            <w:tcW w:type="dxa" w:w="1152"/>
            <w:vAlign w:val="center"/>
            <w:tcMar>
              <w:top w:w="95" w:type="dxa"/>
              <w:bottom w:w="95" w:type="dxa"/>
              <w:left w:w="110" w:type="dxa"/>
              <w:right w:w="110" w:type="dxa"/>
            </w:tcMar>
            <w:shd w:fill="FFFFFF"/>
          </w:tcPr>
          <w:p>
            <w:pPr>
              <w:keepNext w:val="0"/>
              <w:spacing w:line="280" w:lineRule="exact" w:after="20" w:before="20"/>
            </w:pPr>
            <w:r>
              <w:rPr>
                <w:sz w:val="20"/>
              </w:rPr>
              <w:t>S03</w:t>
            </w:r>
          </w:p>
        </w:tc>
        <w:tc>
          <w:tcPr>
            <w:tcW w:type="dxa" w:w="3816"/>
            <w:vAlign w:val="center"/>
            <w:tcMar>
              <w:top w:w="95" w:type="dxa"/>
              <w:bottom w:w="95" w:type="dxa"/>
              <w:left w:w="110" w:type="dxa"/>
              <w:right w:w="110" w:type="dxa"/>
            </w:tcMar>
            <w:shd w:fill="FFFFFF"/>
          </w:tcPr>
          <w:p>
            <w:pPr>
              <w:keepNext w:val="0"/>
              <w:spacing w:line="280" w:lineRule="exact" w:after="20" w:before="20"/>
            </w:pPr>
            <w:r>
              <w:rPr>
                <w:sz w:val="20"/>
              </w:rPr>
              <w:t>N01 至 N04，作品 设定 编辑 版本 TXT 导入导出</w:t>
            </w:r>
          </w:p>
        </w:tc>
        <w:tc>
          <w:tcPr>
            <w:tcW w:type="dxa" w:w="3168"/>
            <w:vAlign w:val="center"/>
            <w:tcMar>
              <w:top w:w="95" w:type="dxa"/>
              <w:bottom w:w="95" w:type="dxa"/>
              <w:left w:w="110" w:type="dxa"/>
              <w:right w:w="110" w:type="dxa"/>
            </w:tcMar>
            <w:shd w:fill="FFFFFF"/>
          </w:tcPr>
          <w:p>
            <w:pPr>
              <w:keepNext w:val="0"/>
              <w:spacing w:line="280" w:lineRule="exact" w:after="20" w:before="20"/>
            </w:pPr>
            <w:r>
              <w:rPr>
                <w:sz w:val="20"/>
              </w:rPr>
              <w:t>AC13 至 AC16及AC21非AI部分通过</w:t>
            </w:r>
          </w:p>
        </w:tc>
      </w:tr>
      <w:tr>
        <w:trPr>
          <w:cantSplit/>
        </w:trPr>
        <w:tc>
          <w:tcPr>
            <w:tcW w:type="dxa" w:w="1800"/>
            <w:vAlign w:val="center"/>
            <w:tcMar>
              <w:top w:w="95" w:type="dxa"/>
              <w:bottom w:w="95" w:type="dxa"/>
              <w:left w:w="110" w:type="dxa"/>
              <w:right w:w="110" w:type="dxa"/>
            </w:tcMar>
            <w:shd w:fill="F6F8FA"/>
          </w:tcPr>
          <w:p>
            <w:pPr>
              <w:keepNext w:val="0"/>
              <w:spacing w:line="280" w:lineRule="exact" w:after="20" w:before="20"/>
            </w:pPr>
            <w:r>
              <w:rPr>
                <w:sz w:val="20"/>
              </w:rPr>
              <w:t>S05 AI 与来源</w:t>
            </w:r>
          </w:p>
        </w:tc>
        <w:tc>
          <w:tcPr>
            <w:tcW w:type="dxa" w:w="1152"/>
            <w:vAlign w:val="center"/>
            <w:tcMar>
              <w:top w:w="95" w:type="dxa"/>
              <w:bottom w:w="95" w:type="dxa"/>
              <w:left w:w="110" w:type="dxa"/>
              <w:right w:w="110" w:type="dxa"/>
            </w:tcMar>
            <w:shd w:fill="F6F8FA"/>
          </w:tcPr>
          <w:p>
            <w:pPr>
              <w:keepNext w:val="0"/>
              <w:spacing w:line="280" w:lineRule="exact" w:after="20" w:before="20"/>
            </w:pPr>
            <w:r>
              <w:rPr>
                <w:sz w:val="20"/>
              </w:rPr>
              <w:t>S04</w:t>
            </w:r>
          </w:p>
        </w:tc>
        <w:tc>
          <w:tcPr>
            <w:tcW w:type="dxa" w:w="3816"/>
            <w:vAlign w:val="center"/>
            <w:tcMar>
              <w:top w:w="95" w:type="dxa"/>
              <w:bottom w:w="95" w:type="dxa"/>
              <w:left w:w="110" w:type="dxa"/>
              <w:right w:w="110" w:type="dxa"/>
            </w:tcMar>
            <w:shd w:fill="F6F8FA"/>
          </w:tcPr>
          <w:p>
            <w:pPr>
              <w:keepNext w:val="0"/>
              <w:spacing w:line="280" w:lineRule="exact" w:after="20" w:before="20"/>
            </w:pPr>
            <w:r>
              <w:rPr>
                <w:sz w:val="20"/>
              </w:rPr>
              <w:t>公共 AI 服务，N05 至 N08，候选 来源与上下文</w:t>
            </w:r>
          </w:p>
        </w:tc>
        <w:tc>
          <w:tcPr>
            <w:tcW w:type="dxa" w:w="3168"/>
            <w:vAlign w:val="center"/>
            <w:tcMar>
              <w:top w:w="95" w:type="dxa"/>
              <w:bottom w:w="95" w:type="dxa"/>
              <w:left w:w="110" w:type="dxa"/>
              <w:right w:w="110" w:type="dxa"/>
            </w:tcMar>
            <w:shd w:fill="F6F8FA"/>
          </w:tcPr>
          <w:p>
            <w:pPr>
              <w:keepNext w:val="0"/>
              <w:spacing w:line="280" w:lineRule="exact" w:after="20" w:before="20"/>
            </w:pPr>
            <w:r>
              <w:rPr>
                <w:sz w:val="20"/>
              </w:rPr>
              <w:t>AC17 至 AC22通过或明确真实接口待验证</w:t>
            </w:r>
          </w:p>
        </w:tc>
      </w:tr>
      <w:tr>
        <w:trPr>
          <w:cantSplit/>
        </w:trPr>
        <w:tc>
          <w:tcPr>
            <w:tcW w:type="dxa" w:w="1800"/>
            <w:vAlign w:val="center"/>
            <w:tcMar>
              <w:top w:w="95" w:type="dxa"/>
              <w:bottom w:w="95" w:type="dxa"/>
              <w:left w:w="110" w:type="dxa"/>
              <w:right w:w="110" w:type="dxa"/>
            </w:tcMar>
            <w:shd w:fill="FFFFFF"/>
          </w:tcPr>
          <w:p>
            <w:pPr>
              <w:keepNext w:val="0"/>
              <w:spacing w:line="280" w:lineRule="exact" w:after="20" w:before="20"/>
            </w:pPr>
            <w:r>
              <w:rPr>
                <w:sz w:val="20"/>
              </w:rPr>
              <w:t>S06 发布验收</w:t>
            </w:r>
          </w:p>
        </w:tc>
        <w:tc>
          <w:tcPr>
            <w:tcW w:type="dxa" w:w="1152"/>
            <w:vAlign w:val="center"/>
            <w:tcMar>
              <w:top w:w="95" w:type="dxa"/>
              <w:bottom w:w="95" w:type="dxa"/>
              <w:left w:w="110" w:type="dxa"/>
              <w:right w:w="110" w:type="dxa"/>
            </w:tcMar>
            <w:shd w:fill="FFFFFF"/>
          </w:tcPr>
          <w:p>
            <w:pPr>
              <w:keepNext w:val="0"/>
              <w:spacing w:line="280" w:lineRule="exact" w:after="20" w:before="20"/>
            </w:pPr>
            <w:r>
              <w:rPr>
                <w:sz w:val="20"/>
              </w:rPr>
              <w:t>S05</w:t>
            </w:r>
          </w:p>
        </w:tc>
        <w:tc>
          <w:tcPr>
            <w:tcW w:type="dxa" w:w="3816"/>
            <w:vAlign w:val="center"/>
            <w:tcMar>
              <w:top w:w="95" w:type="dxa"/>
              <w:bottom w:w="95" w:type="dxa"/>
              <w:left w:w="110" w:type="dxa"/>
              <w:right w:w="110" w:type="dxa"/>
            </w:tcMar>
            <w:shd w:fill="FFFFFF"/>
          </w:tcPr>
          <w:p>
            <w:pPr>
              <w:keepNext w:val="0"/>
              <w:spacing w:line="280" w:lineRule="exact" w:after="20" w:before="20"/>
            </w:pPr>
            <w:r>
              <w:rPr>
                <w:sz w:val="20"/>
              </w:rPr>
              <w:t>性能 异常恢复 双平台打包 文档 使用引导</w:t>
            </w:r>
          </w:p>
        </w:tc>
        <w:tc>
          <w:tcPr>
            <w:tcW w:type="dxa" w:w="3168"/>
            <w:vAlign w:val="center"/>
            <w:tcMar>
              <w:top w:w="95" w:type="dxa"/>
              <w:bottom w:w="95" w:type="dxa"/>
              <w:left w:w="110" w:type="dxa"/>
              <w:right w:w="110" w:type="dxa"/>
            </w:tcMar>
            <w:shd w:fill="FFFFFF"/>
          </w:tcPr>
          <w:p>
            <w:pPr>
              <w:keepNext w:val="0"/>
              <w:spacing w:line="280" w:lineRule="exact" w:after="20" w:before="20"/>
            </w:pPr>
            <w:r>
              <w:rPr>
                <w:sz w:val="20"/>
              </w:rPr>
              <w:t>AC01 至 AC25通过，产出发布候选与已知限制</w:t>
            </w:r>
          </w:p>
        </w:tc>
      </w:tr>
    </w:tbl>
    <w:p>
      <w:pPr>
        <w:spacing w:after="60" w:before="0" w:line="60" w:lineRule="exact"/>
      </w:pPr>
      <w:r>
        <w:rPr>
          <w:sz w:val="6"/>
        </w:rPr>
      </w:r>
    </w:p>
    <w:p>
      <w:r>
        <w:t>S00 的最小纵向样例仅验证技术，不作为完成基础功能的替代。S03 结束后基础版可以独立交付，S04 不得提前侵入基础项目的数据模型。阶段可以拆成小任务，但必须保持依赖顺序。</w:t>
      </w:r>
    </w:p>
    <w:p>
      <w:pPr>
        <w:pStyle w:val="Heading2"/>
      </w:pPr>
      <w:r>
        <w:t>12.3 每阶段具体任务</w:t>
      </w:r>
    </w:p>
    <w:p>
      <w:r>
        <w:t>S00 检查工作目录与指令；记录已有文档基线；创建 Tauri 2 与 React TypeScript 项目；验证 rusqlite 线程方案、编辑器 JSON 持久化和系统凭据接口；建立 macOS 构建与 Windows 构建验证计划。不要复制旧墨稿整个目录。</w:t>
      </w:r>
    </w:p>
    <w:p>
      <w:r>
        <w:t>S01 先实现实际路径解析、数据库工作线程、迁移和错误契约，再补平台 CRUD 命令。定义命令数据字典、大小限制及 DTO 契约测试。所有持久化访问从明确 repository 入口进入，锁定基础表所有权。</w:t>
      </w:r>
    </w:p>
    <w:p>
      <w:r>
        <w:t>S02 按项目 → 资料与附件 → 笔记保存及冲突 → 任务实现。每完成一个功能就用真实数据验证创建、重启、修改与删除，不先堆齐所有空页面。附件导入与资料引用作为独立故障测试点。</w:t>
      </w:r>
    </w:p>
    <w:p>
      <w:pPr/>
      <w:r>
        <w:t>用户在 2026-10-11 扩充 B03 文档与表格基础能力，作为 S02 的资料子任务实现。AC03 增加 B03-D01–D05 子验收：真实导入 MD/DOCX/XLSX/CSV，核对中文段落和表格；切换工作表、行列分页不丢位置；日期/错误/公式缓存与空缓存可辨认；系统打开/原格式导出保留原件；重启后资料、来源和项目一致。验证模块生成字节的发布事务、归属错误和回滚。损坏、加密、无效编码、过度展开及旧 revision 必须有可见失败，不能执行文档脚本、宏、公式或外部下载。Rust 格式样本和组件测试之外，至少验证 macOS 文档与表格实机流程。用户随后将编辑纳入同一 S02 子任务，新增 B03-D06–D07：Markdown 中文修改、草稿恢复、提交与历史导出/恢复；Word/Excel 打开持久副本，Office 保存关闭后提交，完整字节及复杂格式保留；公式重算由 Office 完成。验证旧 revision、草稿序号、迟到回执、零行更新与快照失败回滚，以及旧库 0001 → 0002 升级。AC12/AC25 增加字号、控件高度、间距与窄窗口布局检查。完整 Office 界面须按实际安装的应用实测，不能以容器字节测试替代；爬取模块仍在后续范围。</w:t>
      </w:r>
    </w:p>
    <w:p>
      <w:r>
        <w:t>S03 将真实数据接到首页，实现中文搜索与索引重建、全部设置、回收站、手动与自动备份、完整恢复、任务状态和帮助。使用测试模块验证契约与启停。完成学习项目端到端流程和可访问性检查。</w:t>
      </w:r>
    </w:p>
    <w:p>
      <w:r>
        <w:t>S04 独立实现墨稿领域、作品与章节树、编辑器、版本快照、人物世界观大纲及TXT进出。重点验证切章、关闭、恢复和导出时的即时稿保存。小说模块使用已有平台公开接口，不重复开发全局设置和备份。</w:t>
      </w:r>
    </w:p>
    <w:p>
      <w:r>
        <w:t>S05 先实现 Rust AI transport 和请求状态，再接续写、润色与大纲草案。先用 mock 测候选版本检查和幂等，再接真实接口。最后实现手动触发的来源提取、过期规则、上下文预算与截止章规则，避免把复杂自动生成链同时引入。</w:t>
      </w:r>
    </w:p>
    <w:p>
      <w:r>
        <w:t>S06 运行容量基线与错误注入，验证上一数据版本迁移和两种桌面平台，修复后再生成发布候选。无 Windows 环境、无AI凭据或无签名证书时明确区分对应待验证或待分发事项，不能把全部打包当作已发布。</w:t>
      </w:r>
    </w:p>
    <w:p>
      <w:pPr>
        <w:pStyle w:val="Heading2"/>
      </w:pPr>
      <w:r>
        <w:t>12.4 工程检查</w:t>
      </w:r>
    </w:p>
    <w:p>
      <w:r>
        <w:t>初始化后定义 npm run typecheck、npm run lint、npm run test、npm run build 与 npm run tauri dev 等实际脚本。Rust 执行 cargo fmt --check、cargo clippy 与 cargo test；固定参数由工程决定并写入 README。测试关注业务结果、真实持久化与恢复，不只搜索代码中是否存在某字符串。</w:t>
      </w:r>
    </w:p>
    <w:p>
      <w:r>
        <w:t>重点测试版本冲突、回执顺序、候选串章、重复采用、部分派生失败、引用校验、附件共享删除、备份一致性、路径穿越、迁移失败和模块停用。样式微调使用截图与人工检查，不为每个 CSS 属性编写镜像测试。</w:t>
      </w:r>
    </w:p>
    <w:p>
      <w:pPr>
        <w:pStyle w:val="Heading2"/>
      </w:pPr>
      <w:r>
        <w:t>12.5 Codex 起始任务</w:t>
      </w:r>
    </w:p>
    <w:p>
      <w:r>
        <w:t>请在墨枢项目目录阅读 README.md、AGENTS.md 和 docs 下六份文档。按选定的 Rust + Tauri 2、TypeScript + React、SQLite 技术方案开始 S00 技术验证，再执行 S01。此轮实现范围由用户选择的阶段决定；若用户要求完成全部版本，则持续按 S00 至 S06推进。墨稿旧项目只供业务规则参考，不适配旧服务、不共享旧库、不复制其实现。基础平台必须在业务模块停用时独立可用。每完成一个阶段，在 implementation-status.md 写入对应要求、验证证据和未验证事项。</w:t>
      </w:r>
    </w:p>
    <w:p>
      <w:r>
        <w:t>本文为需求与验收基线，实际代码状态与未验证事项以 docs/implementation-status.md 及对应证据为准。</w:t>
      </w:r>
    </w:p>
    <w:p>
      <w:bookmarkStart w:id="13" w:name="chapter_13"/>
      <w:pPr>
        <w:pStyle w:val="Heading1"/>
      </w:pPr>
      <w:r>
        <w:t>13 风险 默认值与参考依据</w:t>
      </w:r>
      <w:bookmarkEnd w:id="13"/>
    </w:p>
    <w:p>
      <w:pPr>
        <w:pStyle w:val="Heading2"/>
      </w:pPr>
      <w:r>
        <w:t>13.1 关键风险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5040"/>
      </w:tblGrid>
      <w:tr>
        <w:trPr>
          <w:tblHeader/>
          <w:cantSplit/>
        </w:trPr>
        <w:tc>
          <w:tcPr>
            <w:tcW w:type="dxa" w:w="1944"/>
            <w:vAlign w:val="center"/>
            <w:tcMar>
              <w:top w:w="95" w:type="dxa"/>
              <w:bottom w:w="95" w:type="dxa"/>
              <w:left w:w="110" w:type="dxa"/>
              <w:right w:w="110" w:type="dxa"/>
            </w:tcMar>
            <w:shd w:fill="DBE8F0"/>
          </w:tcPr>
          <w:p>
            <w:pPr>
              <w:keepNext w:val="0"/>
              <w:spacing w:line="280" w:lineRule="exact" w:after="20" w:before="20"/>
            </w:pPr>
            <w:r>
              <w:rPr>
                <w:b/>
                <w:sz w:val="20"/>
              </w:rPr>
              <w:t>风险</w:t>
            </w:r>
          </w:p>
        </w:tc>
        <w:tc>
          <w:tcPr>
            <w:tcW w:type="dxa" w:w="2952"/>
            <w:vAlign w:val="center"/>
            <w:tcMar>
              <w:top w:w="95" w:type="dxa"/>
              <w:bottom w:w="95" w:type="dxa"/>
              <w:left w:w="110" w:type="dxa"/>
              <w:right w:w="110" w:type="dxa"/>
            </w:tcMar>
            <w:shd w:fill="DBE8F0"/>
          </w:tcPr>
          <w:p>
            <w:pPr>
              <w:keepNext w:val="0"/>
              <w:spacing w:line="280" w:lineRule="exact" w:after="20" w:before="20"/>
            </w:pPr>
            <w:r>
              <w:rPr>
                <w:b/>
                <w:sz w:val="20"/>
              </w:rPr>
              <w:t>影响</w:t>
            </w:r>
          </w:p>
        </w:tc>
        <w:tc>
          <w:tcPr>
            <w:tcW w:type="dxa" w:w="5040"/>
            <w:vAlign w:val="center"/>
            <w:tcMar>
              <w:top w:w="95" w:type="dxa"/>
              <w:bottom w:w="95" w:type="dxa"/>
              <w:left w:w="110" w:type="dxa"/>
              <w:right w:w="110" w:type="dxa"/>
            </w:tcMar>
            <w:shd w:fill="DBE8F0"/>
          </w:tcPr>
          <w:p>
            <w:pPr>
              <w:keepNext w:val="0"/>
              <w:spacing w:line="280" w:lineRule="exact" w:after="20" w:before="20"/>
            </w:pPr>
            <w:r>
              <w:rPr>
                <w:b/>
                <w:sz w:val="20"/>
              </w:rPr>
              <w:t>应对与触发条件</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Rust 与界面跨语言契约漂移</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保存字段或枚举解释不一致</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S01 建 DTO 契约测试，每次接口变化执行两端检查</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WebView 编辑器行为差异</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输入法 选区和快捷键异常</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S00 验证中文输入，S06 双平台实机检查</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基础系统范围失控</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平台长期停留在框架阶段</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S03 以独立闭环验收，后续功能另列版本</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AI 候选覆盖新内容</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作者稿件损失</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Rust 层版本条件与幂等采用，快照同事务</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派生数据与正文脱节</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后续生成依据错误</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来源版本 引用 校验与 stale 规则</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备份看似成功但缺附件</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恢复内容不完整</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一致性快照 附件清单 哈希与新安装恢复测试</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模块边界逐渐失控</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增加模块反复修改平台</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依赖方向检查，跨模块只用公开接口</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系统凭据存储不可用</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AI 连接无法安全持久化</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S00 验证，降为明确的会话密钥而非明文存盘</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单设备损坏</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本地备份一并丢失</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提供外部导出，界面显示实际备份位置</w:t>
            </w:r>
          </w:p>
        </w:tc>
      </w:tr>
    </w:tbl>
    <w:p>
      <w:pPr>
        <w:spacing w:after="60" w:before="0" w:line="60" w:lineRule="exact"/>
      </w:pPr>
      <w:r>
        <w:rPr>
          <w:sz w:val="6"/>
        </w:rPr>
      </w:r>
    </w:p>
    <w:p>
      <w:pPr>
        <w:pStyle w:val="Heading2"/>
      </w:pPr>
      <w:r>
        <w:t>13.2 待确认事项与执行默认值</w:t>
      </w:r>
    </w:p>
    <w:p>
      <w:r>
        <w:t>下表是产品细节和后续发布决定，基础开发可以按默认值进行。用户之后修改时，先评估受影响的需求、数据格式和验收，再更新决策记录。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5040"/>
      </w:tblGrid>
      <w:tr>
        <w:trPr>
          <w:tblHeader/>
          <w:cantSplit/>
        </w:trPr>
        <w:tc>
          <w:tcPr>
            <w:tcW w:type="dxa" w:w="1944"/>
            <w:vAlign w:val="center"/>
            <w:tcMar>
              <w:top w:w="95" w:type="dxa"/>
              <w:bottom w:w="95" w:type="dxa"/>
              <w:left w:w="110" w:type="dxa"/>
              <w:right w:w="110" w:type="dxa"/>
            </w:tcMar>
            <w:shd w:fill="DBE8F0"/>
          </w:tcPr>
          <w:p>
            <w:pPr>
              <w:keepNext w:val="0"/>
              <w:spacing w:line="280" w:lineRule="exact" w:after="20" w:before="20"/>
            </w:pPr>
            <w:r>
              <w:rPr>
                <w:b/>
                <w:sz w:val="20"/>
              </w:rPr>
              <w:t>事项</w:t>
            </w:r>
          </w:p>
        </w:tc>
        <w:tc>
          <w:tcPr>
            <w:tcW w:type="dxa" w:w="2952"/>
            <w:vAlign w:val="center"/>
            <w:tcMar>
              <w:top w:w="95" w:type="dxa"/>
              <w:bottom w:w="95" w:type="dxa"/>
              <w:left w:w="110" w:type="dxa"/>
              <w:right w:w="110" w:type="dxa"/>
            </w:tcMar>
            <w:shd w:fill="DBE8F0"/>
          </w:tcPr>
          <w:p>
            <w:pPr>
              <w:keepNext w:val="0"/>
              <w:spacing w:line="280" w:lineRule="exact" w:after="20" w:before="20"/>
            </w:pPr>
            <w:r>
              <w:rPr>
                <w:b/>
                <w:sz w:val="20"/>
              </w:rPr>
              <w:t>本文默认值</w:t>
            </w:r>
          </w:p>
        </w:tc>
        <w:tc>
          <w:tcPr>
            <w:tcW w:type="dxa" w:w="5040"/>
            <w:vAlign w:val="center"/>
            <w:tcMar>
              <w:top w:w="95" w:type="dxa"/>
              <w:bottom w:w="95" w:type="dxa"/>
              <w:left w:w="110" w:type="dxa"/>
              <w:right w:w="110" w:type="dxa"/>
            </w:tcMar>
            <w:shd w:fill="DBE8F0"/>
          </w:tcPr>
          <w:p>
            <w:pPr>
              <w:keepNext w:val="0"/>
              <w:spacing w:line="280" w:lineRule="exact" w:after="20" w:before="20"/>
            </w:pPr>
            <w:r>
              <w:rPr>
                <w:b/>
                <w:sz w:val="20"/>
              </w:rPr>
              <w:t>何时必须确定</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最终品牌与英文拼写</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墨枢 Moshub，墨稿 Mogao</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公开名称与应用标识冻结前</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操作系统优先级</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macOS 优先，Windows 在小说版发布前验收</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S00 记录 Windows 验证环境</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首版存储与账号</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单用户 单本地工作空间 无账号系统</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S01 数据模型冻结前</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小说重写范围</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N01 至 N08，长篇优先，短篇采用单章</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S04 开始时可细化不增加旧系统兼容</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AI 提供商与模型</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单个可配置 OpenAI 兼容连接，不预填密钥</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S05 真实接口验证前需实际连接</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备份保留</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每日启动时自动备份，保留 7 份成功版本</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S03 可在设置中细化</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视觉方向</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暖白与墨色浅色，低亮度中性深色</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S02 页面检查时细化</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历史墨稿内容</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用户自行 TXT 导出再普通导入，无旧格式兼容</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用户明确提出迁移时另开范围</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签名与公开发布</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本地开发及发布候选先行</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公开分发前提供证书与发布授权</w:t>
            </w:r>
          </w:p>
        </w:tc>
      </w:tr>
    </w:tbl>
    <w:p>
      <w:pPr>
        <w:spacing w:after="60" w:before="0" w:line="60" w:lineRule="exact"/>
      </w:pPr>
      <w:r>
        <w:rPr>
          <w:sz w:val="6"/>
        </w:rPr>
      </w:r>
    </w:p>
    <w:p>
      <w:r>
        <w:t>云同步、多工作空间、第三方动态插件和 AI 自动批量处理若成为明确需求，需要独立设计；不能把“可扩展”解释为当前必须实现所有基础设施。</w:t>
      </w:r>
    </w:p>
    <w:p>
      <w:pPr>
        <w:pStyle w:val="Heading2"/>
      </w:pPr>
      <w:r>
        <w:t>13.3 决策记录</w:t>
      </w:r>
    </w:p>
    <w:p>
      <w:r>
        <w:t>ADR01 选定 Rust 核心与 TypeScript 界面。用户授权重新选择最合适的语言。Tauri 提供 Rust 核心与 Web 界面之间的命令通信，适合把本地数据服务集中在核心侧。代价是双语言契约及平台 WebView 差异，按 S00 和 S01 验证。</w:t>
      </w:r>
    </w:p>
    <w:p>
      <w:r>
        <w:t>ADR02 选定本地模块化单体。个人单用户使用场景以可维护和离线为主，SQLite 与托管附件形成数据基础。一个应用内通过明确服务和模块契约扩展，不引入服务器、Redis、微服务或通用插件运行时。</w:t>
      </w:r>
    </w:p>
    <w:p>
      <w:r>
        <w:t>ADR03 选定小说模块独立重写。墨稿提供领域经验，不承担运行依赖。新系统不连接旧后端，不读写旧 MySQL，不兼容旧桌面登录与账户。用户需要历史正文时使用普通 TXT 导入。</w:t>
      </w:r>
    </w:p>
    <w:p>
      <w:r>
        <w:t>ADR04 选定分阶段交付。S03 为独立可用的完整基础版；S04 完成非 AI 小说创作；S05 加入可选 AI 与来源规则。既有墨稿高级功能作为后续候选，不一次性重造全部能力。</w:t>
      </w:r>
    </w:p>
    <w:p>
      <w:pPr/>
      <w:r>
        <w:t>ADR05 按用户 2026-10-11 要求，把 Markdown、DOCX、XLSX 和 CSV/TSV 的读取展示及生成结果归档纳入 B03/S02。它们是后续文档写作、数据收集等模块共用的平台能力。原文件为权威，结构化阅读视图为可重建投影；初次实现读取正文/表格，后续用户追加的完整编辑按 ADR06 处理。读取和字节发布都有明确容量、归属和版本边界；采集和写作业务留在模块，基础功能独立可用。</w:t>
      </w:r>
    </w:p>
    <w:p>
      <w:pPr/>
      <w:r>
        <w:t>ADR06 按用户同日追加要求，所有 MD、Word、Excel 资料需可编辑，并选择接近 Office 的能力。采用 Markdown 内置编辑、本机 Office 编辑器处理 Word/Excel、平台统一版本与会话的方案。复杂格式不通过轻量阅读投影重建，提交保留编辑器保存的完整文件；图片、排版、合并、图表和重算兼容性由所选应用决定。应用内摘要阅读不冒充完整 Office 界面，发布包也不包含 Office 引擎。此方案保持 Rust/Tauri/SQLite 的本地架构，不增加在线文档服务器；未来需要内嵌 Office 时须单独选型、处理引擎许可与部署。</w:t>
      </w:r>
    </w:p>
    <w:p>
      <w:pPr>
        <w:pStyle w:val="Heading2"/>
      </w:pPr>
      <w:r>
        <w:t>13.4 墨稿技术与业务提炼记录</w:t>
      </w:r>
    </w:p>
    <w:p>
      <w:r>
        <w:t>此次审阅范围包括根目录和 client、server 的依赖清单，Electron 主入口，API 客户端，功能闭环说明，人物记忆说明，章节写回与编辑编排代码及部分测试定义。目的为提炼新需求，不代表完成旧系统全面质量审计，也没有执行旧系统测试或验证全部功能。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952"/>
        <w:gridCol w:w="5040"/>
      </w:tblGrid>
      <w:tr>
        <w:trPr>
          <w:tblHeader/>
          <w:cantSplit/>
        </w:trPr>
        <w:tc>
          <w:tcPr>
            <w:tcW w:type="dxa" w:w="1944"/>
            <w:vAlign w:val="center"/>
            <w:tcMar>
              <w:top w:w="95" w:type="dxa"/>
              <w:bottom w:w="95" w:type="dxa"/>
              <w:left w:w="110" w:type="dxa"/>
              <w:right w:w="110" w:type="dxa"/>
            </w:tcMar>
            <w:shd w:fill="DBE8F0"/>
          </w:tcPr>
          <w:p>
            <w:pPr>
              <w:keepNext w:val="0"/>
              <w:spacing w:line="280" w:lineRule="exact" w:after="20" w:before="20"/>
            </w:pPr>
            <w:r>
              <w:rPr>
                <w:b/>
                <w:sz w:val="20"/>
              </w:rPr>
              <w:t>提炼来源</w:t>
            </w:r>
          </w:p>
        </w:tc>
        <w:tc>
          <w:tcPr>
            <w:tcW w:type="dxa" w:w="2952"/>
            <w:vAlign w:val="center"/>
            <w:tcMar>
              <w:top w:w="95" w:type="dxa"/>
              <w:bottom w:w="95" w:type="dxa"/>
              <w:left w:w="110" w:type="dxa"/>
              <w:right w:w="110" w:type="dxa"/>
            </w:tcMar>
            <w:shd w:fill="DBE8F0"/>
          </w:tcPr>
          <w:p>
            <w:pPr>
              <w:keepNext w:val="0"/>
              <w:spacing w:line="280" w:lineRule="exact" w:after="20" w:before="20"/>
            </w:pPr>
            <w:r>
              <w:rPr>
                <w:b/>
                <w:sz w:val="20"/>
              </w:rPr>
              <w:t>保留的规则</w:t>
            </w:r>
          </w:p>
        </w:tc>
        <w:tc>
          <w:tcPr>
            <w:tcW w:type="dxa" w:w="5040"/>
            <w:vAlign w:val="center"/>
            <w:tcMar>
              <w:top w:w="95" w:type="dxa"/>
              <w:bottom w:w="95" w:type="dxa"/>
              <w:left w:w="110" w:type="dxa"/>
              <w:right w:w="110" w:type="dxa"/>
            </w:tcMar>
            <w:shd w:fill="DBE8F0"/>
          </w:tcPr>
          <w:p>
            <w:pPr>
              <w:keepNext w:val="0"/>
              <w:spacing w:line="280" w:lineRule="exact" w:after="20" w:before="20"/>
            </w:pPr>
            <w:r>
              <w:rPr>
                <w:b/>
                <w:sz w:val="20"/>
              </w:rPr>
              <w:t>新系统实现方向</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client/src/features/chapter/writeback.ts</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正文保存与派生处理分离，失败可重试</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Rust 正文事务成功后提交持久派生任务</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章节编辑与版本相关实现</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保存回执保护新输入，切章保存，冲突可见</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统一 SaveReceipt，SQLite revision 校验</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docs/feature-loop-implementation.md</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AI 候选有归属与正文依据，采用前校验</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mogao_ai_candidates 与原子采用服务</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docs/character-memory.md</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人物经历有来源，固定设定由作者决定</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来源章 revision 引用与确认状态</w:t>
            </w:r>
          </w:p>
        </w:tc>
      </w:tr>
      <w:tr>
        <w:trPr>
          <w:cantSplit/>
        </w:trPr>
        <w:tc>
          <w:tcPr>
            <w:tcW w:type="dxa" w:w="1944"/>
            <w:vAlign w:val="center"/>
            <w:tcMar>
              <w:top w:w="95" w:type="dxa"/>
              <w:bottom w:w="95" w:type="dxa"/>
              <w:left w:w="110" w:type="dxa"/>
              <w:right w:w="110" w:type="dxa"/>
            </w:tcMar>
            <w:shd w:fill="FFFFFF"/>
          </w:tcPr>
          <w:p>
            <w:pPr>
              <w:keepNext w:val="0"/>
              <w:spacing w:line="280" w:lineRule="exact" w:after="20" w:before="20"/>
            </w:pPr>
            <w:r>
              <w:rPr>
                <w:sz w:val="20"/>
              </w:rPr>
              <w:t>既有上下文流程与功能闭环说明</w:t>
            </w:r>
          </w:p>
        </w:tc>
        <w:tc>
          <w:tcPr>
            <w:tcW w:type="dxa" w:w="2952"/>
            <w:vAlign w:val="center"/>
            <w:tcMar>
              <w:top w:w="95" w:type="dxa"/>
              <w:bottom w:w="95" w:type="dxa"/>
              <w:left w:w="110" w:type="dxa"/>
              <w:right w:w="110" w:type="dxa"/>
            </w:tcMar>
            <w:shd w:fill="FFFFFF"/>
          </w:tcPr>
          <w:p>
            <w:pPr>
              <w:keepNext w:val="0"/>
              <w:spacing w:line="280" w:lineRule="exact" w:after="20" w:before="20"/>
            </w:pPr>
            <w:r>
              <w:rPr>
                <w:sz w:val="20"/>
              </w:rPr>
              <w:t>大纲计划和实际正文分开，截止章防未来信息</w:t>
            </w:r>
          </w:p>
        </w:tc>
        <w:tc>
          <w:tcPr>
            <w:tcW w:type="dxa" w:w="5040"/>
            <w:vAlign w:val="center"/>
            <w:tcMar>
              <w:top w:w="95" w:type="dxa"/>
              <w:bottom w:w="95" w:type="dxa"/>
              <w:left w:w="110" w:type="dxa"/>
              <w:right w:w="110" w:type="dxa"/>
            </w:tcMar>
            <w:shd w:fill="FFFFFF"/>
          </w:tcPr>
          <w:p>
            <w:pPr>
              <w:keepNext w:val="0"/>
              <w:spacing w:line="280" w:lineRule="exact" w:after="20" w:before="20"/>
            </w:pPr>
            <w:r>
              <w:rPr>
                <w:sz w:val="20"/>
              </w:rPr>
              <w:t>Rust 上下文编译器与过期过滤</w:t>
            </w:r>
          </w:p>
        </w:tc>
      </w:tr>
      <w:tr>
        <w:trPr>
          <w:cantSplit/>
        </w:trPr>
        <w:tc>
          <w:tcPr>
            <w:tcW w:type="dxa" w:w="1944"/>
            <w:vAlign w:val="center"/>
            <w:tcMar>
              <w:top w:w="95" w:type="dxa"/>
              <w:bottom w:w="95" w:type="dxa"/>
              <w:left w:w="110" w:type="dxa"/>
              <w:right w:w="110" w:type="dxa"/>
            </w:tcMar>
            <w:shd w:fill="F6F8FA"/>
          </w:tcPr>
          <w:p>
            <w:pPr>
              <w:keepNext w:val="0"/>
              <w:spacing w:line="280" w:lineRule="exact" w:after="20" w:before="20"/>
            </w:pPr>
            <w:r>
              <w:rPr>
                <w:sz w:val="20"/>
              </w:rPr>
              <w:t>既有备份流程说明</w:t>
            </w:r>
          </w:p>
        </w:tc>
        <w:tc>
          <w:tcPr>
            <w:tcW w:type="dxa" w:w="2952"/>
            <w:vAlign w:val="center"/>
            <w:tcMar>
              <w:top w:w="95" w:type="dxa"/>
              <w:bottom w:w="95" w:type="dxa"/>
              <w:left w:w="110" w:type="dxa"/>
              <w:right w:w="110" w:type="dxa"/>
            </w:tcMar>
            <w:shd w:fill="F6F8FA"/>
          </w:tcPr>
          <w:p>
            <w:pPr>
              <w:keepNext w:val="0"/>
              <w:spacing w:line="280" w:lineRule="exact" w:after="20" w:before="20"/>
            </w:pPr>
            <w:r>
              <w:rPr>
                <w:sz w:val="20"/>
              </w:rPr>
              <w:t>备份等待即时稿，恢复保留内容关联</w:t>
            </w:r>
          </w:p>
        </w:tc>
        <w:tc>
          <w:tcPr>
            <w:tcW w:type="dxa" w:w="5040"/>
            <w:vAlign w:val="center"/>
            <w:tcMar>
              <w:top w:w="95" w:type="dxa"/>
              <w:bottom w:w="95" w:type="dxa"/>
              <w:left w:w="110" w:type="dxa"/>
              <w:right w:w="110" w:type="dxa"/>
            </w:tcMar>
            <w:shd w:fill="F6F8FA"/>
          </w:tcPr>
          <w:p>
            <w:pPr>
              <w:keepNext w:val="0"/>
              <w:spacing w:line="280" w:lineRule="exact" w:after="20" w:before="20"/>
            </w:pPr>
            <w:r>
              <w:rPr>
                <w:sz w:val="20"/>
              </w:rPr>
              <w:t>平台全局一致性快照与附件校验</w:t>
            </w:r>
          </w:p>
        </w:tc>
      </w:tr>
    </w:tbl>
    <w:p>
      <w:pPr>
        <w:spacing w:after="60" w:before="0" w:line="60" w:lineRule="exact"/>
      </w:pPr>
      <w:r>
        <w:rPr>
          <w:sz w:val="6"/>
        </w:rPr>
      </w:r>
    </w:p>
    <w:p>
      <w:r>
        <w:t>新模块首版把所有提取事实设为待确认，这是对新系统复杂度的主动控制，不直接沿用旧系统自动写回政策。旧项目中的全书评分、分层生成和人物对话等，按第 4 节后续能力安排。</w:t>
      </w:r>
    </w:p>
    <w:p>
      <w:pPr>
        <w:pStyle w:val="Heading2"/>
        <w:pageBreakBefore/>
      </w:pPr>
      <w:r>
        <w:t>13.5 官方技术参考</w:t>
      </w:r>
    </w:p>
    <w:p>
      <w:r>
        <w:t>技术资料核对日期为 2026 年 10 月 11 日。文档中的产品需求和性能目标是项目决策；下面链接只为技术机制提供依据。</w:t>
      </w:r>
    </w:p>
    <w:p>
      <w:pPr>
        <w:pStyle w:val="ListBullet"/>
        <w:spacing w:before="0" w:after="80" w:line="280" w:lineRule="exact"/>
        <w:snapToGrid w:val="0"/>
      </w:pPr>
      <w:r>
        <w:rPr>
          <w:sz w:val="22"/>
        </w:rPr>
        <w:t>Tauri 框架与系统 WebView架构：</w:t>
      </w:r>
      <w:hyperlink r:id="rId10">
        <w:r>
          <w:rPr>
            <w:color w:val="245A7A"/>
          </w:rPr>
          <w:t>https://v2.tauri.app/start/</w:t>
        </w:r>
      </w:hyperlink>
      <w:r>
        <w:rPr>
          <w:sz w:val="22"/>
        </w:rPr>
      </w:r>
    </w:p>
    <w:p>
      <w:pPr>
        <w:pStyle w:val="ListBullet"/>
        <w:spacing w:before="0" w:after="80" w:line="280" w:lineRule="exact"/>
        <w:snapToGrid w:val="0"/>
      </w:pPr>
      <w:r>
        <w:rPr>
          <w:sz w:val="22"/>
        </w:rPr>
        <w:t>Tauri 开发前置要求：</w:t>
      </w:r>
      <w:hyperlink r:id="rId11">
        <w:r>
          <w:rPr>
            <w:color w:val="245A7A"/>
          </w:rPr>
          <w:t>https://v2.tauri.app/start/prerequisites/</w:t>
        </w:r>
      </w:hyperlink>
      <w:r>
        <w:rPr>
          <w:sz w:val="22"/>
        </w:rPr>
      </w:r>
    </w:p>
    <w:p>
      <w:pPr>
        <w:pStyle w:val="ListBullet"/>
        <w:spacing w:before="0" w:after="80" w:line="280" w:lineRule="exact"/>
        <w:snapToGrid w:val="0"/>
      </w:pPr>
      <w:r>
        <w:rPr>
          <w:sz w:val="22"/>
        </w:rPr>
        <w:t>前端调用 Rust 命令：</w:t>
      </w:r>
      <w:hyperlink r:id="rId12">
        <w:r>
          <w:rPr>
            <w:color w:val="245A7A"/>
          </w:rPr>
          <w:t>https://v2.tauri.app/develop/calling-rust/</w:t>
        </w:r>
      </w:hyperlink>
      <w:r>
        <w:rPr>
          <w:sz w:val="22"/>
        </w:rPr>
      </w:r>
    </w:p>
    <w:p>
      <w:pPr>
        <w:pStyle w:val="ListBullet"/>
        <w:spacing w:before="0" w:after="80" w:line="280" w:lineRule="exact"/>
        <w:snapToGrid w:val="0"/>
      </w:pPr>
      <w:r>
        <w:rPr>
          <w:sz w:val="22"/>
        </w:rPr>
        <w:t>Tauri capabilities 与权限范围：</w:t>
      </w:r>
      <w:hyperlink r:id="rId13">
        <w:r>
          <w:rPr>
            <w:color w:val="245A7A"/>
          </w:rPr>
          <w:t>https://v2.tauri.app/security/capabilities/</w:t>
        </w:r>
      </w:hyperlink>
      <w:r>
        <w:rPr>
          <w:sz w:val="22"/>
        </w:rPr>
      </w:r>
    </w:p>
    <w:p>
      <w:pPr>
        <w:pStyle w:val="ListBullet"/>
        <w:spacing w:before="0" w:after="80" w:line="280" w:lineRule="exact"/>
        <w:snapToGrid w:val="0"/>
      </w:pPr>
      <w:r>
        <w:rPr>
          <w:sz w:val="22"/>
        </w:rPr>
        <w:t>React 与 TypeScript：</w:t>
      </w:r>
      <w:hyperlink r:id="rId14">
        <w:r>
          <w:rPr>
            <w:color w:val="245A7A"/>
          </w:rPr>
          <w:t>https://react.dev/learn/typescript</w:t>
        </w:r>
      </w:hyperlink>
      <w:r>
        <w:rPr>
          <w:sz w:val="22"/>
        </w:rPr>
      </w:r>
    </w:p>
    <w:p>
      <w:pPr>
        <w:pStyle w:val="ListBullet"/>
        <w:spacing w:before="0" w:after="80" w:line="280" w:lineRule="exact"/>
        <w:snapToGrid w:val="0"/>
      </w:pPr>
      <w:r>
        <w:rPr>
          <w:sz w:val="22"/>
        </w:rPr>
        <w:t>SQLite 作为应用数据格式：</w:t>
      </w:r>
      <w:hyperlink r:id="rId15">
        <w:r>
          <w:rPr>
            <w:color w:val="245A7A"/>
          </w:rPr>
          <w:t>https://www.sqlite.org/appfileformat.html</w:t>
        </w:r>
      </w:hyperlink>
      <w:r>
        <w:rPr>
          <w:sz w:val="22"/>
        </w:rPr>
      </w:r>
    </w:p>
    <w:p>
      <w:pPr>
        <w:pStyle w:val="ListBullet"/>
        <w:spacing w:before="0" w:after="80" w:line="280" w:lineRule="exact"/>
        <w:snapToGrid w:val="0"/>
      </w:pPr>
      <w:r>
        <w:rPr>
          <w:sz w:val="22"/>
        </w:rPr>
        <w:t>rusqlite 在线备份模块：</w:t>
      </w:r>
      <w:hyperlink r:id="rId16">
        <w:r>
          <w:rPr>
            <w:color w:val="245A7A"/>
          </w:rPr>
          <w:t>https://docs.rs/rusqlite/latest/rusqlite/backup/index.html</w:t>
        </w:r>
      </w:hyperlink>
      <w:r>
        <w:rPr>
          <w:sz w:val="22"/>
        </w:rPr>
      </w:r>
    </w:p>
    <w:p>
      <w:pPr>
        <w:pStyle w:val="ListBullet"/>
        <w:spacing w:before="0" w:after="80" w:line="280" w:lineRule="exact"/>
        <w:snapToGrid w:val="0"/>
      </w:pPr>
      <w:r>
        <w:rPr>
          <w:sz w:val="22"/>
        </w:rPr>
        <w:t>Tiptap 内容持久化：</w:t>
      </w:r>
      <w:hyperlink r:id="rId17">
        <w:r>
          <w:rPr>
            <w:color w:val="245A7A"/>
          </w:rPr>
          <w:t>https://tiptap.dev/docs/editor/core-concepts/persistence</w:t>
        </w:r>
      </w:hyperlink>
      <w:r>
        <w:rPr>
          <w:sz w:val="22"/>
        </w:rPr>
      </w:r>
    </w:p>
    <w:p>
      <w:pPr>
        <w:pStyle w:val="ListBullet"/>
        <w:spacing w:before="0" w:after="80" w:line="280" w:lineRule="exact"/>
        <w:snapToGrid w:val="0"/>
      </w:pPr>
      <w:r>
        <w:rPr>
          <w:sz w:val="22"/>
        </w:rPr>
        <w:t>Tauri 桌面 WebDriver 支持范围：</w:t>
      </w:r>
      <w:hyperlink r:id="rId18">
        <w:r>
          <w:rPr>
            <w:color w:val="245A7A"/>
          </w:rPr>
          <w:t>https://v2.tauri.app/develop/tests/webdriver/</w:t>
        </w:r>
      </w:hyperlink>
      <w:r>
        <w:rPr>
          <w:sz w:val="22"/>
        </w:rPr>
      </w:r>
    </w:p>
    <w:p>
      <w:pPr>
        <w:spacing w:before="0" w:after="80" w:line="280" w:lineRule="exact"/>
        <w:snapToGrid w:val="0"/>
      </w:pPr>
      <w:r>
        <w:rPr>
          <w:sz w:val="22"/>
        </w:rPr>
        <w:t>Codex 初始化时应重新核对版本与环境要求，把选定版本写入锁文件。性能、中文输入、备份和候选采用规则以本项目测试结果为准。</w:t>
      </w:r>
    </w:p>
    <w:sectPr w:rsidR="00FC693F" w:rsidRPr="0006063C" w:rsidSect="00034616">
      <w:footerReference w:type="default" r:id="rId9"/>
      <w:headerReference w:type="default" r:id="rId19"/>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墨枢  开发执行基线 v1.4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30" w:lineRule="exact"/>
    </w:pPr>
    <w:rPr>
      <w:rFonts w:ascii="Arial Unicode MS" w:hAnsi="Arial Unicode MS" w:eastAsia="Arial Unicode MS"/>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460" w:lineRule="exact"/>
      <w:outlineLvl w:val="0"/>
    </w:pPr>
    <w:rPr>
      <w:rFonts w:ascii="Arial Unicode MS" w:hAnsi="Arial Unicode MS" w:eastAsia="Arial Unicode M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60" w:lineRule="exact"/>
      <w:outlineLvl w:val="1"/>
    </w:pPr>
    <w:rPr>
      <w:rFonts w:ascii="Arial Unicode MS" w:hAnsi="Arial Unicode MS"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line="360" w:lineRule="exact"/>
      <w:outlineLvl w:val="2"/>
    </w:pPr>
    <w:rPr>
      <w:rFonts w:ascii="Arial Unicode MS" w:hAnsi="Arial Unicode MS"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Unicode MS" w:hAnsi="Arial Unicode MS" w:eastAsia="Arial Unicode M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Unicode MS" w:hAnsi="Arial Unicode MS" w:eastAsia="Arial Unicode MS"/>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30" w:lineRule="exact"/>
    </w:pPr>
    <w:rPr>
      <w:rFonts w:ascii="Arial Unicode MS" w:hAnsi="Arial Unicode MS" w:eastAsia="Arial Unicode MS"/>
      <w:b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330" w:lineRule="exact"/>
      <w:contextualSpacing/>
    </w:pPr>
    <w:rPr>
      <w:rFonts w:ascii="Arial Unicode MS" w:hAnsi="Arial Unicode MS" w:eastAsia="Arial Unicode MS"/>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330" w:lineRule="exact"/>
      <w:contextualSpacing/>
    </w:pPr>
    <w:rPr>
      <w:rFonts w:ascii="Arial Unicode MS" w:hAnsi="Arial Unicode MS" w:eastAsia="Arial Unicode MS"/>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ody">
    <w:name w:val="Code Body"/>
    <w:pPr>
      <w:widowControl w:val="0"/>
      <w:spacing w:after="0" w:line="260" w:lineRule="exact"/>
      <w:ind w:left="187"/>
    </w:pPr>
    <w:rPr>
      <w:rFonts w:ascii="Arial Unicode MS" w:hAnsi="Arial Unicode MS" w:eastAsia="Arial Unicode M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v2.tauri.app/start/" TargetMode="External"/><Relationship Id="rId11" Type="http://schemas.openxmlformats.org/officeDocument/2006/relationships/hyperlink" Target="https://v2.tauri.app/start/prerequisites/" TargetMode="External"/><Relationship Id="rId12" Type="http://schemas.openxmlformats.org/officeDocument/2006/relationships/hyperlink" Target="https://v2.tauri.app/develop/calling-rust/" TargetMode="External"/><Relationship Id="rId13" Type="http://schemas.openxmlformats.org/officeDocument/2006/relationships/hyperlink" Target="https://v2.tauri.app/security/capabilities/" TargetMode="External"/><Relationship Id="rId14" Type="http://schemas.openxmlformats.org/officeDocument/2006/relationships/hyperlink" Target="https://react.dev/learn/typescript" TargetMode="External"/><Relationship Id="rId15" Type="http://schemas.openxmlformats.org/officeDocument/2006/relationships/hyperlink" Target="https://www.sqlite.org/appfileformat.html" TargetMode="External"/><Relationship Id="rId16" Type="http://schemas.openxmlformats.org/officeDocument/2006/relationships/hyperlink" Target="https://docs.rs/rusqlite/latest/rusqlite/backup/index.html" TargetMode="External"/><Relationship Id="rId17" Type="http://schemas.openxmlformats.org/officeDocument/2006/relationships/hyperlink" Target="https://tiptap.dev/docs/editor/core-concepts/persistence" TargetMode="External"/><Relationship Id="rId18" Type="http://schemas.openxmlformats.org/officeDocument/2006/relationships/hyperlink" Target="https://v2.tauri.app/develop/tests/webdriver/" TargetMode="External"/><Relationship Id="rId1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墨枢产品需求与技术实施说明</dc:title>
  <dc:subject>独立基础平台与墨稿小说模块重写</dc:subject>
  <dc:creator>墨枢项目</dc:creator>
  <cp:keywords>墨枢,Moshub,Rust,Tauri,需求,模块,墨稿</cp:keywords>
  <dc:description/>
  <cp:lastModifiedBy/>
  <cp:revision>1</cp:revision>
  <dcterms:created xsi:type="dcterms:W3CDTF">2013-12-23T23:15:00Z</dcterms:created>
  <dcterms:modified xsi:type="dcterms:W3CDTF">2013-12-23T23:15:00Z</dcterms:modified>
  <cp:category/>
</cp:coreProperties>
</file>