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学到的东西：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github.com在线资源共享平台。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Fritzing.org电路板模拟工具。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Arduion.cc开源硬件代码编写工具。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Processing.org专业设计工具。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Linux(Ubantu)开源操作系统。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PinMode(端口,OUTPUT/INPUT)；设置输出/输入端口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Serial.begin(数字)初始输出功率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Serial.available( )监测是否有值输入，有则大于零否则小于0；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Serial.read( )读入一个值；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digitalWrite(端口，HIGH/LOW)指定端口输出高电平/低电平。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7位数码管的连接；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CD4511的使用方式：（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高电平开启锁销，低电平关闭；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指示灯测试、空白端接高电平；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A到G端与7位数码管对应连接；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输入为4位2进制数字；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每位数字输入范围0到9；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利用锁销可实现多个CD4511的写入；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电机的使用（电压差控制正转反转；左右轮转速不一控制左转右转。）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Arduino的0\1接口是信号发射接受端，不能连工作电路。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库函数的编写以及库函数的引用。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3707"/>
    <w:rsid w:val="05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2019-07-06T04:35:00Z</dcterms:created>
  <dc:creator>白翼天</dc:creator>
  <cp:lastModifiedBy>白翼天</cp:lastModifiedBy>
  <dcterms:modified xsi:type="dcterms:W3CDTF">2019-07-06T04:55:26Z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