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2DE62"/>
    <w:p w14:paraId="2C7ACB0F"/>
    <w:p w14:paraId="0AE65F20"/>
    <w:p w14:paraId="236D4F90">
      <w:pPr>
        <w:jc w:val="center"/>
      </w:pPr>
      <w:r>
        <w:rPr>
          <w:rFonts w:ascii="Calibri" w:hAnsi="Calibri"/>
          <w:b/>
          <w:color w:val="1B2A4A"/>
          <w:sz w:val="72"/>
        </w:rPr>
        <w:t>GeoNexus</w:t>
      </w:r>
    </w:p>
    <w:p w14:paraId="7A16B111">
      <w:pPr>
        <w:jc w:val="center"/>
      </w:pPr>
      <w:r>
        <w:rPr>
          <w:rFonts w:ascii="Calibri" w:hAnsi="Calibri"/>
          <w:i/>
          <w:color w:val="556677"/>
          <w:sz w:val="28"/>
        </w:rPr>
        <w:t>面向全球公共地理空间智能的</w:t>
      </w:r>
    </w:p>
    <w:p w14:paraId="718AAB4F">
      <w:pPr>
        <w:jc w:val="center"/>
      </w:pPr>
      <w:r>
        <w:rPr>
          <w:rFonts w:ascii="Calibri" w:hAnsi="Calibri"/>
          <w:i/>
          <w:color w:val="556677"/>
          <w:sz w:val="28"/>
        </w:rPr>
        <w:t>联邦化 GeoAI 基础设施</w:t>
      </w:r>
    </w:p>
    <w:p w14:paraId="390A6631"/>
    <w:p w14:paraId="4C10C26C">
      <w:pPr>
        <w:jc w:val="center"/>
      </w:pPr>
      <w:r>
        <w:rPr>
          <w:rFonts w:ascii="Calibri" w:hAnsi="Calibri"/>
          <w:color w:val="556677"/>
          <w:sz w:val="24"/>
        </w:rPr>
        <w:t>一个面向可互操作、主权化、AI 原生的地理空间公共产品的开放协议生态系统</w:t>
      </w:r>
    </w:p>
    <w:p w14:paraId="1F024099">
      <w:pPr>
        <w:jc w:val="center"/>
      </w:pPr>
      <w:r>
        <w:rPr>
          <w:rFonts w:ascii="Calibri" w:hAnsi="Calibri"/>
          <w:color w:val="888888"/>
          <w:sz w:val="20"/>
        </w:rPr>
        <w:t>白皮书 v</w:t>
      </w:r>
      <w:r>
        <w:rPr>
          <w:rFonts w:hint="eastAsia" w:eastAsia="宋体"/>
          <w:color w:val="888888"/>
          <w:sz w:val="20"/>
          <w:lang w:val="en-US" w:eastAsia="zh-CN"/>
        </w:rPr>
        <w:t>0</w:t>
      </w:r>
      <w:r>
        <w:rPr>
          <w:rFonts w:ascii="Calibri" w:hAnsi="Calibri"/>
          <w:color w:val="888888"/>
          <w:sz w:val="20"/>
        </w:rPr>
        <w:t>.</w:t>
      </w:r>
      <w:r>
        <w:rPr>
          <w:rFonts w:hint="eastAsia" w:eastAsia="宋体"/>
          <w:color w:val="888888"/>
          <w:sz w:val="20"/>
          <w:lang w:val="en-US" w:eastAsia="zh-CN"/>
        </w:rPr>
        <w:t>7.1</w:t>
      </w:r>
      <w:bookmarkStart w:id="0" w:name="_GoBack"/>
      <w:bookmarkEnd w:id="0"/>
      <w:r>
        <w:rPr>
          <w:rFonts w:ascii="Calibri" w:hAnsi="Calibri"/>
          <w:color w:val="888888"/>
          <w:sz w:val="20"/>
        </w:rPr>
        <w:t xml:space="preserve"> — 2026年05月27日</w:t>
      </w:r>
    </w:p>
    <w:p w14:paraId="28F6DDEA">
      <w:r>
        <w:br w:type="page"/>
      </w:r>
    </w:p>
    <w:p w14:paraId="4B0BDEFA">
      <w:pPr>
        <w:pStyle w:val="3"/>
      </w:pPr>
      <w:r>
        <w:t>摘要</w:t>
      </w:r>
    </w:p>
    <w:p w14:paraId="47832076">
      <w:r>
        <w:rPr>
          <w:rFonts w:ascii="Calibri" w:hAnsi="Calibri"/>
          <w:sz w:val="22"/>
        </w:rPr>
        <w:t>世界面临着紧迫的、空间明确的挑战——气候变化、粮食安全、灾害风险以及联合国可持续发展目标（SDGs）的监测。然而，应对这些挑战所需的地理空间智能仍然分散在中心化平台、不兼容的标准和机构孤岛之中。现有解决方案要么将数据锁定在专有云环境中，要么缺乏原生的 AI 编排能力，要么无法满足国家和社区的数据主权要求。</w:t>
      </w:r>
    </w:p>
    <w:p w14:paraId="3FA4BB42">
      <w:r>
        <w:rPr>
          <w:rFonts w:ascii="Calibri" w:hAnsi="Calibri"/>
          <w:sz w:val="22"/>
        </w:rPr>
        <w:t>GeoNexus 不是另一个中心化 GIS 平台。它是一个联邦化的 GeoAI 互操作框架，旨在通过开放、轻量级的协议，连接全球地理空间数据集、AI 模型、分析工作流、智能代理和计算能力。GeoNexus 引入了"协议优先、联邦其次"的范式，围绕五个核心抽象构建：GeoMCP（地理空间模型上下文协议）、GeoCard（每个地理空间资产的语义身份卡）、GeoSkill（可复用、自描述的分析能力）、GeoAgent（AI 原生编排层）和 GeoNode（主权执行环境）。</w:t>
      </w:r>
    </w:p>
    <w:p w14:paraId="28F65E1F">
      <w:r>
        <w:rPr>
          <w:rFonts w:ascii="Calibri" w:hAnsi="Calibri"/>
          <w:sz w:val="22"/>
        </w:rPr>
        <w:t>本白皮书定义了 GeoNexus 的愿景、核心标准、参考架构、安全模型和生态策略。其目标是建立一个开放的、公共产品性质的基础设施，使任何机构——从联合国机构到小岛屿发展中国家——都能跨组织边界发现、组合和执行地理空间 AI 能力，而无需放弃对其数据的控制权。</w:t>
      </w:r>
    </w:p>
    <w:p w14:paraId="63D082C2">
      <w:r>
        <w:br w:type="page"/>
      </w:r>
    </w:p>
    <w:p w14:paraId="4F1E81B6">
      <w:pPr>
        <w:pStyle w:val="3"/>
      </w:pPr>
      <w:r>
        <w:t>执行摘要</w:t>
      </w:r>
    </w:p>
    <w:p w14:paraId="1BEB930D">
      <w:r>
        <w:rPr>
          <w:rFonts w:ascii="Calibri" w:hAnsi="Calibri"/>
          <w:sz w:val="22"/>
        </w:rPr>
        <w:t>人类面临的最紧迫挑战具有空间明确的特征。气候韧性需要高分辨率灾害制图和适应性规划。SDGs 需要一致的、跨国的环境和社会指标。灾害风险减少依赖于快速、多源的态势感知。粮食和水安全依赖于对作物健康、土壤湿度和水体的持续监测。要大规模应对这些挑战，需要无缝集成地球观测数据、AI 模型、人口数据集和基于物理的模拟——跨越管辖边界和机构界限。</w:t>
      </w:r>
    </w:p>
    <w:p w14:paraId="0C3114FC">
      <w:r>
        <w:rPr>
          <w:rFonts w:ascii="Calibri" w:hAnsi="Calibri"/>
          <w:sz w:val="22"/>
        </w:rPr>
        <w:t>然而，当今的地理空间生态系统正遭受严重的碎片化危机。主要平台作为中心化数据孤岛运行，虽然各自功能强大，但难以互操作。数据以不兼容的格式存在于数千个机构知识库中。AI 模型在孤立环境中训练，缺乏统一的发现或组合接口。越来越多的国家要求其敏感地理空间数据必须保留在其主权管辖范围内——这一要求是中心化架构从根本上无法满足的。</w:t>
      </w:r>
    </w:p>
    <w:p w14:paraId="627E7664">
      <w:r>
        <w:rPr>
          <w:rFonts w:ascii="Calibri" w:hAnsi="Calibri"/>
          <w:sz w:val="22"/>
        </w:rPr>
        <w:t>GeoNexus 在架构层面解决这一碎片化问题。GeoNexus 不是构建又一个将数据汇聚到单一仓库的平台，而是定义开放协议，使现有数据仓库、计算引擎和 AI 服务能够作为联邦化能力网络进行互操作。数据留在本地；只有元数据、能力描述和编排命令在网络中传输。这种"将计算带到数据"的范式由 CAFE 框架在环境科学领域率先提出（Xu, Li, Bai et al., 2018），GeoNexus 在此基础上扩展了 AI 原生的语义发现和合约驱动的自主执行能力，灵感来源于 AutoGIS 代理架构（Chen, Bai &amp; Li et al., 2025）。</w:t>
      </w:r>
    </w:p>
    <w:p w14:paraId="036A3BB6">
      <w:r>
        <w:rPr>
          <w:rFonts w:ascii="Calibri" w:hAnsi="Calibri"/>
          <w:sz w:val="22"/>
        </w:rPr>
        <w:t>GeoNexus 定位为联合国全球地理空间知识与创新中心（UN-GGKIC）以及更广泛的全球地理空间公共产品生态系统的互操作骨干。通过将协议与实现分离、能力语义与数据存储分离、AI 编排与单体 GIS 引擎分离，GeoNexus 开启了一种全新的协作模式——在尊重主权的同时，释放集体智慧以服务于地球治理。</w:t>
      </w:r>
    </w:p>
    <w:p w14:paraId="6D1E5ECD">
      <w:r>
        <w:br w:type="page"/>
      </w:r>
    </w:p>
    <w:p w14:paraId="1EEEDFF8">
      <w:pPr>
        <w:pStyle w:val="3"/>
      </w:pPr>
      <w:r>
        <w:t>第一部分 — 背景与动因</w:t>
      </w:r>
    </w:p>
    <w:p w14:paraId="599002A8">
      <w:pPr>
        <w:pStyle w:val="4"/>
      </w:pPr>
      <w:r>
        <w:t>1. 全球挑战格局</w:t>
      </w:r>
    </w:p>
    <w:p w14:paraId="2E25CC7A">
      <w:r>
        <w:rPr>
          <w:rFonts w:ascii="Calibri" w:hAnsi="Calibri"/>
          <w:sz w:val="22"/>
        </w:rPr>
        <w:t>国际社会正面临空间明确的危机的汇聚，这些危机需要在全球尺度上协调、数据驱动的响应。气候变化正在加剧极端天气事件的频率和严重程度，世界气象组织报告称过去50年中与气候相关的灾害增加了五倍。《仙台减灾框架》呼吁建立多灾种早期预警系统，这需要实时集成卫星影像、地面传感器网络、水动力模型和人口暴露数据——这一技术集成是大多数国家难以独立完成的。</w:t>
      </w:r>
    </w:p>
    <w:p w14:paraId="47168CDD">
      <w:r>
        <w:rPr>
          <w:rFonts w:ascii="Calibri" w:hAnsi="Calibri"/>
          <w:sz w:val="22"/>
        </w:rPr>
        <w:t>《2030年可持续发展议程》提出了17项 SDGs 和231项独特指标，其中超过40%需要地理空间数据才能进行有效监测（UN-GGIM, 2022）。跟踪 SDG 6（清洁用水）、SDG 11（可持续城市）、SDG 13（气候行动）和 SDG 15（陆地生命）的进展，需要持续的地球观测、一致的环境基线和跨国的数据协调。然而，根据联合国贸易和发展会议（UNCTAD, 2024）的报告，发展中国家面临着日益扩大的"AI 鸿沟"——既缺乏将原始地理空间数据转化为可行情报的计算基础设施，也缺乏相应的技术能力。</w:t>
      </w:r>
    </w:p>
    <w:p w14:paraId="5131FD33">
      <w:r>
        <w:rPr>
          <w:rFonts w:ascii="Calibri" w:hAnsi="Calibri"/>
          <w:sz w:val="22"/>
        </w:rPr>
        <w:t>粮食安全、生物多样性丧失、水资源短缺和被迫迁移本质上都是空间现象。每一个问题都需要融合异构数据源——卫星星座（光学、SAR、热红外）、现场传感器网络、人口调查、经济模型——并通过日益复杂的 AI 管道进行分析。全球社会拥有应对这些挑战所需的数据和算法，但缺乏的是能够大规模连接它们的互操作基础设施。</w:t>
      </w:r>
    </w:p>
    <w:p w14:paraId="149B677A">
      <w:pPr>
        <w:pStyle w:val="4"/>
      </w:pPr>
      <w:r>
        <w:t>2. 当前系统的局限性</w:t>
      </w:r>
    </w:p>
    <w:p w14:paraId="72FDF6A7">
      <w:r>
        <w:rPr>
          <w:rFonts w:ascii="Calibri" w:hAnsi="Calibri"/>
          <w:sz w:val="22"/>
        </w:rPr>
        <w:t>当代地理空间技术格局的特点是能力强但互操作性弱。Google Earth Engine（GEE）展示了基于云的大规模地理空间分析的变革潜力，通过统一 API 处理数 PB 的卫星影像。开放地理空间联盟（OGC）制定了成熟的标准——WMS、WFS、WCS、WPS——使得地理空间数据和处理的互操作访问成为可能。空间数据基础设施（SDIs），如欧洲的 INSPIRE 和美国的 NSDI，已建立了国家和区域数据共享的治理框架。</w:t>
      </w:r>
    </w:p>
    <w:p w14:paraId="286E3F5A">
      <w:r>
        <w:rPr>
          <w:rFonts w:ascii="Calibri" w:hAnsi="Calibri"/>
          <w:sz w:val="22"/>
        </w:rPr>
        <w:t>然而，当以全球规模、AI 驱动的地理空间智能需求来评估时，这些系统都存在根本性的架构局限。第一，中心化平台要求将数据导入单一云环境——这一模式越来越不适应国家数据主权法规，也与许多关键数据集太大、太敏感或更新太频繁而无法跨辖区复制的现实相悖。第二，现有的互操作标准主要是为人类驱动的数据发现和可视化工作流设计的，而非为机器到机器的服务组合或 AI 代理编排而设计。它们缺乏语义丰富性，无法支撑智能代理在分布式节点之间自主发现、评估和链接分析能力。</w:t>
      </w:r>
    </w:p>
    <w:p w14:paraId="0255F8C0">
      <w:r>
        <w:rPr>
          <w:rFonts w:ascii="Calibri" w:hAnsi="Calibri"/>
          <w:sz w:val="22"/>
        </w:rPr>
        <w:t>第三，当前用于地理空间分析的 AI 平台孤立运行——各自训练模型、暴露 API、管理计算资源。目前没有标准化机制能允许一家机构训练的气候脆弱性模型去发现和调用另一个机构运营的洪水制图服务，也没有机制能让自主规划代理组合跨越多国的卫星数据仓库、统计引擎和物理模拟器的多步分析工作流。其结果就是 GeoAI 碎片化危机：数据和模型大量存在，但无法互相发现、无法安全组合、无法跨主权环境编排。</w:t>
      </w:r>
    </w:p>
    <w:p w14:paraId="411E6958">
      <w:pPr>
        <w:pStyle w:val="4"/>
      </w:pPr>
      <w:r>
        <w:t>3. 为什么联邦化和数据主权在此刻至关重要</w:t>
      </w:r>
    </w:p>
    <w:p w14:paraId="1A072DF2">
      <w:r>
        <w:rPr>
          <w:rFonts w:ascii="Calibri" w:hAnsi="Calibri"/>
          <w:sz w:val="22"/>
        </w:rPr>
        <w:t>全球地理空间基础设施的中心化模式在技术上、政治上和法律上都不再可接受。欧盟的《通用数据保护条例》（GDPR）、中国的《数据安全法》以及巴西（LGPD）、印度（DPDP Act）和非洲各国的类似法律框架已经确立：某些类别的数据——包括具有国家安全意义的高分辨率地理空间数据——必须保留在主权管辖范围内。同时，《联合国秘书长数据战略》强调"数据主权与互操作性"原则是国际合作的基础。</w:t>
      </w:r>
    </w:p>
    <w:p w14:paraId="4FE69642">
      <w:r>
        <w:rPr>
          <w:rFonts w:ascii="Calibri" w:hAnsi="Calibri"/>
          <w:sz w:val="22"/>
        </w:rPr>
        <w:t>联邦化架构——数据和模型由其保管者控制，只有元数据、能力描述、语义合约和编排命令在组织边界之间传输——是通往真正全球化、包容性的 GeoAI 基础设施的唯一可行路径。这种"将计算带到数据"的范式由 CAFE 框架（Collaborative Analysis Framework for gridded Environmental data；Xu, Li, Bai et al., 2018）首次在大规模上实现，该框架在中国研究机构之间编排了 CMIP5 气候模型数据的分布式分析，而无需中心化数据复制。GeoNexus 将这一范式从气候科学推广到整个地理空间智能领域。</w:t>
      </w:r>
    </w:p>
    <w:p w14:paraId="55F3930A">
      <w:r>
        <w:rPr>
          <w:rFonts w:ascii="Calibri" w:hAnsi="Calibri"/>
          <w:sz w:val="22"/>
        </w:rPr>
        <w:t>时机至关重要。大语言模型（LLMs）、多模态遥感基础模型（RSFMs）和自主 AI 代理的快速涌现正在重塑地理空间技术格局。如果现在不建立开放的、联邦优先的协议，下一代 GeoAI 基础设施将默认为专有的、中心化的架构，从而加深而非弥合数字鸿沟。GeoNexus 从底层设计上确保了 AI 驱动的地理空间革命是开放的、包容的、主权保护的。</w:t>
      </w:r>
    </w:p>
    <w:p w14:paraId="19A676B9">
      <w:r>
        <w:br w:type="page"/>
      </w:r>
    </w:p>
    <w:p w14:paraId="544EEB0C">
      <w:pPr>
        <w:pStyle w:val="3"/>
      </w:pPr>
      <w:r>
        <w:t>第二部分 — 愿景与设计哲学</w:t>
      </w:r>
    </w:p>
    <w:p w14:paraId="7579BF44">
      <w:pPr>
        <w:pStyle w:val="4"/>
      </w:pPr>
      <w:r>
        <w:t>4. GeoNexus 愿景</w:t>
      </w:r>
    </w:p>
    <w:p w14:paraId="7D7106C0">
      <w:r>
        <w:rPr>
          <w:rFonts w:ascii="Calibri" w:hAnsi="Calibri"/>
          <w:sz w:val="22"/>
        </w:rPr>
        <w:t>GeoNexus 构想的未来是：地理空间 AI 能力像开源软件库一样易于发现和组合。用户——无论是联合国机构的政策分析师、国家应急行动中心的灾害响应协调员，还是农村地区的农业推广官员——应该能够用自然语言陈述地理空间目标，智能系统即可自动发现相关数据资产、分析技能和 AI 模型，并在联邦化节点之间安全地执行它们，而无需手动下载数据、转换格式或协商 API。</w:t>
      </w:r>
    </w:p>
    <w:p w14:paraId="4A387F13">
      <w:r>
        <w:rPr>
          <w:rFonts w:ascii="Calibri" w:hAnsi="Calibri"/>
          <w:sz w:val="22"/>
        </w:rPr>
        <w:t>这一愿景并非空想。基础技术今天已经存在：语义向量搜索实现了地理空间资产的自然语言发现；基于容器的执行环境支持在远程基础设施上安全、可复现的计算；大语言模型能够解析用户意图并生成结构化的分析工作流。缺失的一环是协议层——能够让这些组件跨机构和管辖边界互操作的标准化通信语言。GeoNexus 提供的正是这一层。</w:t>
      </w:r>
    </w:p>
    <w:p w14:paraId="7DCE790B">
      <w:pPr>
        <w:pStyle w:val="4"/>
      </w:pPr>
      <w:r>
        <w:t>5. 核心设计原则</w:t>
      </w:r>
    </w:p>
    <w:p w14:paraId="19CDF981">
      <w:r>
        <w:rPr>
          <w:rFonts w:ascii="Calibri" w:hAnsi="Calibri"/>
          <w:sz w:val="22"/>
        </w:rPr>
        <w:t>GeoNexus 遵循八项核心设计原则，这些原则共同将其与现有地理空间架构区分开来：</w:t>
      </w:r>
    </w:p>
    <w:p w14:paraId="54F627A4">
      <w:r>
        <w:rPr>
          <w:rFonts w:ascii="Calibri" w:hAnsi="Calibri"/>
          <w:sz w:val="22"/>
        </w:rPr>
        <w:t>联邦优先。无需中心化数据仓库。每个 GeoNode 对其托管的数据保留完全主权，仅共享描述能力而非暴露底层数据的机器可读 GeoCard。网络以对等网络而非星型层级结构运行。</w:t>
      </w:r>
    </w:p>
    <w:p w14:paraId="032C1649">
      <w:r>
        <w:rPr>
          <w:rFonts w:ascii="Calibri" w:hAnsi="Calibri"/>
          <w:sz w:val="22"/>
        </w:rPr>
        <w:t>AI 原生。GeoNexus 中的每个能力都以机器可读、AI 可检索的语义进行描述。GeoCards 携带支持语义搜索的向量嵌入。GeoSkills 暴露结构化的输入/输出合约，AI 代理可在调用前进行检查。这不是在遗留架构上嫁接 AI——GeoNexus 从协议层面向上一层都设计为供智能代理消费。</w:t>
      </w:r>
    </w:p>
    <w:p w14:paraId="27001847">
      <w:r>
        <w:rPr>
          <w:rFonts w:ascii="Calibri" w:hAnsi="Calibri"/>
          <w:sz w:val="22"/>
        </w:rPr>
        <w:t>协议中心。互操作性通过开放、版本化的协议实现，而非单体引擎或强制性软件栈。只要系统说 GeoMCP 语言并生成有效的 GeoCards，就可以加入 GeoNexus 网络，无论其内部实现如何——Python、R、Julia 或通过适配器封装的遗留 Fortran 模型。这正是使 HTTP 成为万维网通用语言的同一哲学。</w:t>
      </w:r>
    </w:p>
    <w:p w14:paraId="68EBCD20">
      <w:r>
        <w:rPr>
          <w:rFonts w:ascii="Calibri" w:hAnsi="Calibri"/>
          <w:sz w:val="22"/>
        </w:rPr>
        <w:t>能力导向。GeoNexus 中的基本共享单元是 GeoSkill——一个自包含、带版本的分析能力——而非数据集转储。这转变了范式：从"把你的数据给我，我来分析"到"在你的数据上运行这个分析，把结果给我"。它尊重主权，减少数据传输，并使能力能够组合成复杂工作流。</w:t>
      </w:r>
    </w:p>
    <w:p w14:paraId="13F4F98D">
      <w:r>
        <w:rPr>
          <w:rFonts w:ascii="Calibri" w:hAnsi="Calibri"/>
          <w:sz w:val="22"/>
        </w:rPr>
        <w:t>主权保护。合规约束——数据许可、管辖限制、隐私要求——是 GeoNexus 协议栈中的一等公民，直接编码在 GeoCards 中，并在任何执行发生前由 GeoNode 策略引擎（OPA/Rego）强制执行。这将合规从人工的、事后的检查清单转变为自动化的、执行前的门禁。</w:t>
      </w:r>
    </w:p>
    <w:p w14:paraId="1D5CC0AB">
      <w:r>
        <w:rPr>
          <w:rFonts w:ascii="Calibri" w:hAnsi="Calibri"/>
          <w:sz w:val="22"/>
        </w:rPr>
        <w:t>开放生态。GeoNexus 专为社区贡献和多利益相关方治理而设计，而非单供应商控制。协议规范、参考实现、SDK 和合规测试套件均在开放环境中开发。类比 HuggingFace Hub 的 GeoCard 注册中心使任何人都能发布、发现和审查地理空间能力。</w:t>
      </w:r>
    </w:p>
    <w:p w14:paraId="77847435">
      <w:r>
        <w:rPr>
          <w:rFonts w:ascii="Calibri" w:hAnsi="Calibri"/>
          <w:sz w:val="22"/>
        </w:rPr>
        <w:t>云原生与边缘就绪。GeoNexus 可运行于全频谱部署环境——从多租户云 Kubernetes 集群到有限连接的数据中心的本地边缘节点。GeoNode 运行时既适用于高吞吐量云环境，也适用于资源受限的边缘部署。</w:t>
      </w:r>
    </w:p>
    <w:p w14:paraId="4B20723E">
      <w:r>
        <w:rPr>
          <w:rFonts w:ascii="Calibri" w:hAnsi="Calibri"/>
          <w:sz w:val="22"/>
        </w:rPr>
        <w:t>人机协作。GeoAgent 是 AI 原生的编排层，能够自主规划和调度分析工作流，但人类监督始终不可或缺。代理提议工作流；人类批准、引导和解释。这在自主执行的效率与灾害响应、公共卫生和环境治理等高风险决策所需的问责之间取得了平衡。</w:t>
      </w:r>
    </w:p>
    <w:p w14:paraId="52FD3754">
      <w:pPr>
        <w:pStyle w:val="4"/>
      </w:pPr>
      <w:r>
        <w:t>6. 概念架构总览</w:t>
      </w:r>
    </w:p>
    <w:p w14:paraId="6F54D4CF">
      <w:r>
        <w:rPr>
          <w:rFonts w:ascii="Calibri" w:hAnsi="Calibri"/>
          <w:sz w:val="22"/>
        </w:rPr>
        <w:t>GeoNexus 围绕五个核心抽象构建，这些抽象共同组成一个联邦化能力网络：</w:t>
      </w:r>
    </w:p>
    <w:p w14:paraId="205CE449">
      <w:r>
        <w:rPr>
          <w:rFonts w:ascii="Calibri" w:hAnsi="Calibri"/>
          <w:sz w:val="22"/>
        </w:rPr>
        <w:t>GeoMCP（地理空间模型上下文协议）。通用通信层。受 JSON-RPC 2.0 启发并设计为 RESTful 兼容，GeoMCP 定义了一组最小方法——discover、describe、execute、status——用于所有 GeoNexus 交互。每个请求携带空间上下文（坐标参考系统、边界框）和可选的安全凭证。协议是传输无关的，内部节点通信基于 gRPC 实现，外部访问通过 RESTful HTTPS 提供。</w:t>
      </w:r>
    </w:p>
    <w:p w14:paraId="2B8289A8">
      <w:r>
        <w:rPr>
          <w:rFonts w:ascii="Calibri" w:hAnsi="Calibri"/>
          <w:sz w:val="22"/>
        </w:rPr>
        <w:t>GeoCard（语义身份卡）。生态系统中每个数据集、模型、技能、工作流和计算节点的机器可读护照。GeoCard 编码了身份、时空能力、执行需求、合规约束以及用于语义搜索的向量嵌入。GeoCards 用标准化、AI 可消费的合约取代了异构的、通常面向人类的元数据。</w:t>
      </w:r>
    </w:p>
    <w:p w14:paraId="636F90E5">
      <w:r>
        <w:rPr>
          <w:rFonts w:ascii="Calibri" w:hAnsi="Calibri"/>
          <w:sz w:val="22"/>
        </w:rPr>
        <w:t>GeoSkill（可执行分析能力）。一个自包含、带版本的地理空间计算单元——将代码、运行时环境和 GeoCard 打包成一个可测试、可共享的制品。GeoSkills 在可能的情况下是无状态的，接受结构化输入，返回标准化输出，并可由 GeoAgent 规划器链接为有向无环图（DAG）。</w:t>
      </w:r>
    </w:p>
    <w:p w14:paraId="6A6E66BE">
      <w:r>
        <w:rPr>
          <w:rFonts w:ascii="Calibri" w:hAnsi="Calibri"/>
          <w:sz w:val="22"/>
        </w:rPr>
        <w:t>GeoAgent（AI 编排层）。一个 AI 原生的规划和执行引擎，将用户意图——无论以自然语言还是结构化查询表达——转化为优化后的多步工作流。GeoAgent 通过语义搜索检索相关 GeoCards，规划 GeoSkill 调用的 DAG，将执行调度到合适的 GeoNodes（遵循主权和能力约束），并综合结果。</w:t>
      </w:r>
    </w:p>
    <w:p w14:paraId="20F37870">
      <w:r>
        <w:rPr>
          <w:rFonts w:ascii="Calibri" w:hAnsi="Calibri"/>
          <w:sz w:val="22"/>
        </w:rPr>
        <w:t>GeoNode（主权执行环境）。一个本地部署单元——可以是单台服务器、Kubernetes 集群或边缘设备——托管 GeoSkills、通过本地注册中心暴露 GeoCards、并强制执行合规策略。GeoNode 的核心不变性是：数据留在本地。技能就位执行，仅共享衍生结果（统计摘要、渲染地图、聚合指标）。</w:t>
      </w:r>
    </w:p>
    <w:p w14:paraId="00F1244A">
      <w:r>
        <w:rPr>
          <w:rFonts w:ascii="Calibri" w:hAnsi="Calibri"/>
          <w:sz w:val="22"/>
        </w:rPr>
        <w:t>围绕这五个核心抽象运行的支撑服务包括：GeoTrust，一个声誉和治理层，根据来源、社区验证和审计日志为资产和节点计算动态信任评分；Runtime Adapters，薄封装器，将现有地理空间引擎——Google Earth Engine、OGC WPS、Rasdaman、Apache Spark——作为 GeoSkills 暴露而不需修改；以及 Geospatial Temporal Knowledge Graph（GeoTKG），它将 AI 推理锚定在物理地理空间约束中，编码领域规则，如"洪泛区与河流相邻"和"森林砍伐先于水土流失"，以验证工作流的可行性。</w:t>
      </w:r>
    </w:p>
    <w:p w14:paraId="7B9343BD">
      <w:r>
        <w:br w:type="page"/>
      </w:r>
    </w:p>
    <w:p w14:paraId="4F3A3070">
      <w:pPr>
        <w:pStyle w:val="3"/>
      </w:pPr>
      <w:r>
        <w:t>第三部分 — 核心标准与协议</w:t>
      </w:r>
    </w:p>
    <w:p w14:paraId="53B6C85C">
      <w:r>
        <w:rPr>
          <w:rFonts w:ascii="Calibri" w:hAnsi="Calibri"/>
          <w:sz w:val="22"/>
        </w:rPr>
        <w:t>GeoNexus 的核心标准设计为最小化、可组合性和实现无关。它们定义了必须传达的内容，而非如何实现。本节以支持互操作实现所需的详细程度说明每项标准。</w:t>
      </w:r>
    </w:p>
    <w:p w14:paraId="69F0E15F">
      <w:pPr>
        <w:pStyle w:val="4"/>
      </w:pPr>
      <w:r>
        <w:t>7. GeoMCP：地理空间模型上下文协议</w:t>
      </w:r>
    </w:p>
    <w:p w14:paraId="3A59245C">
      <w:r>
        <w:rPr>
          <w:rFonts w:ascii="Calibri" w:hAnsi="Calibri"/>
          <w:sz w:val="22"/>
        </w:rPr>
        <w:t>GeoMCP 是 GeoNexus 的通用互操作协议。它在概念上借鉴了 Model Context Protocol（MCP；Anthropic, 2025），后者证明了基于 JSON-RPC 的最小协议可以使 LLMs 动态发现和调用外部工具和数据源。GeoMCP 将这一模式扩展到地理空间领域，将空间上下文、联邦化发现和长时间运行任务管理作为协议的一等关注点。</w:t>
      </w:r>
    </w:p>
    <w:p w14:paraId="09A3E105">
      <w:r>
        <w:rPr>
          <w:rFonts w:ascii="Calibri" w:hAnsi="Calibri"/>
          <w:sz w:val="22"/>
        </w:rPr>
        <w:t>GeoMCP 为其最小可行协议（MVP）定义了四个核心方法：</w:t>
      </w:r>
    </w:p>
    <w:p w14:paraId="2C57F05A">
      <w:r>
        <w:rPr>
          <w:rFonts w:ascii="Calibri" w:hAnsi="Calibri"/>
          <w:sz w:val="22"/>
        </w:rPr>
        <w:t>discover — 查找匹配自然语言或结构化查询的 GeoCards。返回带有相关性评分的 GeoCard 摘要排序列表。支持空间过滤（边界框、CRS）、时间过滤（时间范围）、能力过滤（技能类型、所需输入/输出）和合规过滤（许可类型、主权级别）。</w:t>
      </w:r>
    </w:p>
    <w:p w14:paraId="3A2902F6">
      <w:r>
        <w:rPr>
          <w:rFonts w:ascii="Calibri" w:hAnsi="Calibri"/>
          <w:sz w:val="22"/>
        </w:rPr>
        <w:t>describe — 获取特定资产的完整 GeoCard，包括完整的输入/输出模式、执行需求、合规约束和来源元数据。这是机器可读的合约，使 AI 代理能够判断某项资产是否满足给定的分析需求。</w:t>
      </w:r>
    </w:p>
    <w:p w14:paraId="4EE745ED">
      <w:r>
        <w:rPr>
          <w:rFonts w:ascii="Calibri" w:hAnsi="Calibri"/>
          <w:sz w:val="22"/>
        </w:rPr>
        <w:t>execute — 调用一个 GeoSkill，指定输入、空间约束和执行参数。对长时间运行的操作返回任务标识符。支持轻量级任务的同步执行，以及计算密集型地理空间处理（如全场景 SAR 分析、全球气候模式降尺度）的异步执行与状态轮询。</w:t>
      </w:r>
    </w:p>
    <w:p w14:paraId="7016DB7E">
      <w:r>
        <w:rPr>
          <w:rFonts w:ascii="Calibri" w:hAnsi="Calibri"/>
          <w:sz w:val="22"/>
        </w:rPr>
        <w:t>status — 监控长时间运行的地理空间任务的进展。返回当前状态（排队中、运行中、已完成、已失败）、进度百分比（可估计时）、中间结果（可用时）以及完成后的最终输出。</w:t>
      </w:r>
    </w:p>
    <w:p w14:paraId="0F577722">
      <w:r>
        <w:rPr>
          <w:rFonts w:ascii="Calibri" w:hAnsi="Calibri"/>
          <w:sz w:val="22"/>
        </w:rPr>
        <w:t>每个 GeoMCP 请求携带空间上下文头，指定坐标参考系统（CRS）、边界框和空间操作类型。这使 GeoNodes 能够执行服务端重投影、空间子集化和坐标感知计算，而无需客户端处理空间参考系统转换。协议是传输无关的，但初始实现基于 gRPC with Protocol Buffers 用于内部节点到节点通信，以及基于 RESTful JSON over HTTPS 用于外部客户端访问，确保与现有 Web 基础设施和 OGC 服务惯例的兼容性。</w:t>
      </w:r>
    </w:p>
    <w:p w14:paraId="2234A341">
      <w:r>
        <w:rPr>
          <w:rFonts w:ascii="Calibri" w:hAnsi="Calibri"/>
          <w:b/>
          <w:sz w:val="22"/>
        </w:rPr>
        <w:t>一个最小化的 discover 请求示例：</w:t>
      </w:r>
    </w:p>
    <w:p w14:paraId="48E4E8DA">
      <w:pPr>
        <w:shd w:val="clear" w:fill="F5F5F5"/>
        <w:spacing w:before="120" w:after="120"/>
      </w:pP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"jsonrpc": "2.0",</w:t>
      </w:r>
      <w:r>
        <w:rPr>
          <w:rFonts w:ascii="Consolas" w:hAnsi="Consolas"/>
          <w:color w:val="333333"/>
          <w:sz w:val="18"/>
        </w:rPr>
        <w:br w:type="textWrapping"/>
      </w:r>
      <w:r>
        <w:rPr>
          <w:rFonts w:ascii="Consolas" w:hAnsi="Consolas"/>
          <w:color w:val="333333"/>
          <w:sz w:val="18"/>
        </w:rPr>
        <w:t xml:space="preserve">  "method": "discover",</w:t>
      </w:r>
      <w:r>
        <w:rPr>
          <w:rFonts w:ascii="Consolas" w:hAnsi="Consolas"/>
          <w:color w:val="333333"/>
          <w:sz w:val="18"/>
        </w:rPr>
        <w:br w:type="textWrapping"/>
      </w:r>
      <w:r>
        <w:rPr>
          <w:rFonts w:ascii="Consolas" w:hAnsi="Consolas"/>
          <w:color w:val="333333"/>
          <w:sz w:val="18"/>
        </w:rPr>
        <w:t xml:space="preserve">  "params": {</w:t>
      </w:r>
      <w:r>
        <w:rPr>
          <w:rFonts w:ascii="Consolas" w:hAnsi="Consolas"/>
          <w:color w:val="333333"/>
          <w:sz w:val="18"/>
        </w:rPr>
        <w:br w:type="textWrapping"/>
      </w:r>
      <w:r>
        <w:rPr>
          <w:rFonts w:ascii="Consolas" w:hAnsi="Consolas"/>
          <w:color w:val="333333"/>
          <w:sz w:val="18"/>
        </w:rPr>
        <w:t xml:space="preserve">    "query": "flood extent mapping from Sentinel-1 SAR",</w:t>
      </w:r>
      <w:r>
        <w:rPr>
          <w:rFonts w:ascii="Consolas" w:hAnsi="Consolas"/>
          <w:color w:val="333333"/>
          <w:sz w:val="18"/>
        </w:rPr>
        <w:br w:type="textWrapping"/>
      </w:r>
      <w:r>
        <w:rPr>
          <w:rFonts w:ascii="Consolas" w:hAnsi="Consolas"/>
          <w:color w:val="333333"/>
          <w:sz w:val="18"/>
        </w:rPr>
        <w:t xml:space="preserve">    "spatial": {</w:t>
      </w:r>
      <w:r>
        <w:rPr>
          <w:rFonts w:ascii="Consolas" w:hAnsi="Consolas"/>
          <w:color w:val="333333"/>
          <w:sz w:val="18"/>
        </w:rPr>
        <w:br w:type="textWrapping"/>
      </w:r>
      <w:r>
        <w:rPr>
          <w:rFonts w:ascii="Consolas" w:hAnsi="Consolas"/>
          <w:color w:val="333333"/>
          <w:sz w:val="18"/>
        </w:rPr>
        <w:t xml:space="preserve">      "bbox": [16.0, -35.0, 33.0, -22.0],</w:t>
      </w:r>
      <w:r>
        <w:rPr>
          <w:rFonts w:ascii="Consolas" w:hAnsi="Consolas"/>
          <w:color w:val="333333"/>
          <w:sz w:val="18"/>
        </w:rPr>
        <w:br w:type="textWrapping"/>
      </w:r>
      <w:r>
        <w:rPr>
          <w:rFonts w:ascii="Consolas" w:hAnsi="Consolas"/>
          <w:color w:val="333333"/>
          <w:sz w:val="18"/>
        </w:rPr>
        <w:t xml:space="preserve">      "crs": "EPSG:4326"</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"temporal": {</w:t>
      </w:r>
      <w:r>
        <w:rPr>
          <w:rFonts w:ascii="Consolas" w:hAnsi="Consolas"/>
          <w:color w:val="333333"/>
          <w:sz w:val="18"/>
        </w:rPr>
        <w:br w:type="textWrapping"/>
      </w:r>
      <w:r>
        <w:rPr>
          <w:rFonts w:ascii="Consolas" w:hAnsi="Consolas"/>
          <w:color w:val="333333"/>
          <w:sz w:val="18"/>
        </w:rPr>
        <w:t xml:space="preserve">      "start": "2025-01-01",</w:t>
      </w:r>
      <w:r>
        <w:rPr>
          <w:rFonts w:ascii="Consolas" w:hAnsi="Consolas"/>
          <w:color w:val="333333"/>
          <w:sz w:val="18"/>
        </w:rPr>
        <w:br w:type="textWrapping"/>
      </w:r>
      <w:r>
        <w:rPr>
          <w:rFonts w:ascii="Consolas" w:hAnsi="Consolas"/>
          <w:color w:val="333333"/>
          <w:sz w:val="18"/>
        </w:rPr>
        <w:t xml:space="preserve">      "end": "2025-06-30"</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"filters": {</w:t>
      </w:r>
      <w:r>
        <w:rPr>
          <w:rFonts w:ascii="Consolas" w:hAnsi="Consolas"/>
          <w:color w:val="333333"/>
          <w:sz w:val="18"/>
        </w:rPr>
        <w:br w:type="textWrapping"/>
      </w:r>
      <w:r>
        <w:rPr>
          <w:rFonts w:ascii="Consolas" w:hAnsi="Consolas"/>
          <w:color w:val="333333"/>
          <w:sz w:val="18"/>
        </w:rPr>
        <w:t xml:space="preserve">      "skill_type": ["classification", "change_detection"],</w:t>
      </w:r>
      <w:r>
        <w:rPr>
          <w:rFonts w:ascii="Consolas" w:hAnsi="Consolas"/>
          <w:color w:val="333333"/>
          <w:sz w:val="18"/>
        </w:rPr>
        <w:br w:type="textWrapping"/>
      </w:r>
      <w:r>
        <w:rPr>
          <w:rFonts w:ascii="Consolas" w:hAnsi="Consolas"/>
          <w:color w:val="333333"/>
          <w:sz w:val="18"/>
        </w:rPr>
        <w:t xml:space="preserve">      "min_GeoTrust": 0.7</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5CA278AC">
      <w:pPr>
        <w:pStyle w:val="4"/>
      </w:pPr>
      <w:r>
        <w:t>8. GeoCard：地理空间资产的语义身份</w:t>
      </w:r>
    </w:p>
    <w:p w14:paraId="3BDC2874">
      <w:r>
        <w:rPr>
          <w:rFonts w:ascii="Calibri" w:hAnsi="Calibri"/>
          <w:sz w:val="22"/>
        </w:rPr>
        <w:t>GeoCard 是任何 GeoNexus 资产的机器可读护照。它用统一的、AI 友好的合约规范取代了当前地理空间生态系统中使用的异构的、通常面向人类的元数据惯例（ISO 19115、Dublin Core、STAC、schema.org）。每个通过 GeoNexus 访问的数据集、模型、技能、工作流、计算节点和外部服务都必须由 GeoCard 描述。</w:t>
      </w:r>
    </w:p>
    <w:p w14:paraId="04353C80">
      <w:r>
        <w:rPr>
          <w:rFonts w:ascii="Calibri" w:hAnsi="Calibri"/>
          <w:sz w:val="22"/>
        </w:rPr>
        <w:t>GeoCard 结构化为五个必填部分和两个可选扩展：</w:t>
      </w:r>
    </w:p>
    <w:p w14:paraId="4FD46D72">
      <w:r>
        <w:rPr>
          <w:rFonts w:ascii="Calibri" w:hAnsi="Calibri"/>
          <w:sz w:val="22"/>
        </w:rPr>
        <w:t>Identity（身份）。全球唯一标识符（UUID v7）、人类可读名称、资产类型（dataset、model、skill、workflow、node、service）、自然语言描述、关键词，以及用于语义相似度搜索的描述和关键词的向量嵌入。</w:t>
      </w:r>
    </w:p>
    <w:p w14:paraId="1AC27DF8">
      <w:r>
        <w:rPr>
          <w:rFonts w:ascii="Calibri" w:hAnsi="Calibri"/>
          <w:sz w:val="22"/>
        </w:rPr>
        <w:t>Capabilities（能力）。机器可读的资产提供或需求规范。对数据集：空间范围（边界框 + CRS）、空间分辨率、时间覆盖、波段/通道清单、数据格式、估计数据量。对技能：输入模式（JSON Schema）、输出模式、所需运行时、估计执行时间、并行特性。对模型：框架、输入张量形状、输出类别、硬件需求。</w:t>
      </w:r>
    </w:p>
    <w:p w14:paraId="4371778C">
      <w:r>
        <w:rPr>
          <w:rFonts w:ascii="Calibri" w:hAnsi="Calibri"/>
          <w:sz w:val="22"/>
        </w:rPr>
        <w:t>Execution（执行）。运行时需求和调用细节。对技能：容器镜像引用、入口点、资源需求（CPU、内存、GPU、存储）、预期执行时间范围、并发限制和输入/输出数据量估计。对计算节点：可用运行时、总容量、当前负载、支持的加速硬件。</w:t>
      </w:r>
    </w:p>
    <w:p w14:paraId="54B31CD9">
      <w:r>
        <w:rPr>
          <w:rFonts w:ascii="Calibri" w:hAnsi="Calibri"/>
          <w:sz w:val="22"/>
        </w:rPr>
        <w:t>Compliance（合规）。许可类型（SPDX 标识符）、数据主权分类（global、regional、national、restricted）、适用法规（GDPR、国家数据保护法）、使用限制、署名要求，以及允许/禁止的下游用途类别。此部分在任何执行被授权前由 GeoNode 策略引擎进行机器评估。</w:t>
      </w:r>
    </w:p>
    <w:p w14:paraId="7F44D350">
      <w:r>
        <w:rPr>
          <w:rFonts w:ascii="Calibri" w:hAnsi="Calibri"/>
          <w:sz w:val="22"/>
        </w:rPr>
        <w:t>Trust（信任）。密码学来源链（谁创建、修改和验证了该资产）、社区评分、使用统计、审计日志引用以及治理机构的背书。此部分为 GeoTrust 声誉评分系统提供支持。</w:t>
      </w:r>
    </w:p>
    <w:p w14:paraId="6EFA55FE">
      <w:r>
        <w:rPr>
          <w:rFonts w:ascii="Calibri" w:hAnsi="Calibri"/>
          <w:b/>
          <w:sz w:val="22"/>
        </w:rPr>
        <w:t>一个洪水制图技能的最小化 GeoCard 片段：</w:t>
      </w:r>
    </w:p>
    <w:p w14:paraId="2CA4F7EB">
      <w:pPr>
        <w:shd w:val="clear" w:fill="F5F5F5"/>
        <w:spacing w:before="120" w:after="120"/>
      </w:pPr>
      <w:r>
        <w:rPr>
          <w:rFonts w:ascii="Consolas" w:hAnsi="Consolas"/>
          <w:color w:val="333333"/>
          <w:sz w:val="18"/>
        </w:rPr>
        <w:t>id: sentinel1-flood-skill-v2</w:t>
      </w:r>
      <w:r>
        <w:rPr>
          <w:rFonts w:ascii="Consolas" w:hAnsi="Consolas"/>
          <w:color w:val="333333"/>
          <w:sz w:val="18"/>
        </w:rPr>
        <w:br w:type="textWrapping"/>
      </w:r>
      <w:r>
        <w:rPr>
          <w:rFonts w:ascii="Consolas" w:hAnsi="Consolas"/>
          <w:color w:val="333333"/>
          <w:sz w:val="18"/>
        </w:rPr>
        <w:t>name: Sentinel-1 Flood Extent Mapping</w:t>
      </w:r>
      <w:r>
        <w:rPr>
          <w:rFonts w:ascii="Consolas" w:hAnsi="Consolas"/>
          <w:color w:val="333333"/>
          <w:sz w:val="18"/>
        </w:rPr>
        <w:br w:type="textWrapping"/>
      </w:r>
      <w:r>
        <w:rPr>
          <w:rFonts w:ascii="Consolas" w:hAnsi="Consolas"/>
          <w:color w:val="333333"/>
          <w:sz w:val="18"/>
        </w:rPr>
        <w:t>type: skill</w:t>
      </w:r>
      <w:r>
        <w:rPr>
          <w:rFonts w:ascii="Consolas" w:hAnsi="Consolas"/>
          <w:color w:val="333333"/>
          <w:sz w:val="18"/>
        </w:rPr>
        <w:br w:type="textWrapping"/>
      </w:r>
      <w:r>
        <w:rPr>
          <w:rFonts w:ascii="Consolas" w:hAnsi="Consolas"/>
          <w:color w:val="333333"/>
          <w:sz w:val="18"/>
        </w:rPr>
        <w:t>version: 2.1.0</w:t>
      </w:r>
      <w:r>
        <w:rPr>
          <w:rFonts w:ascii="Consolas" w:hAnsi="Consolas"/>
          <w:color w:val="333333"/>
          <w:sz w:val="18"/>
        </w:rPr>
        <w:br w:type="textWrapping"/>
      </w:r>
      <w:r>
        <w:rPr>
          <w:rFonts w:ascii="Consolas" w:hAnsi="Consolas"/>
          <w:color w:val="333333"/>
          <w:sz w:val="18"/>
        </w:rPr>
        <w:t>description: &gt;</w:t>
      </w:r>
      <w:r>
        <w:rPr>
          <w:rFonts w:ascii="Consolas" w:hAnsi="Consolas"/>
          <w:color w:val="333333"/>
          <w:sz w:val="18"/>
        </w:rPr>
        <w:br w:type="textWrapping"/>
      </w:r>
      <w:r>
        <w:rPr>
          <w:rFonts w:ascii="Consolas" w:hAnsi="Consolas"/>
          <w:color w:val="333333"/>
          <w:sz w:val="18"/>
        </w:rPr>
        <w:t xml:space="preserve">  Water extent mapping from Sentinel-1 GRD data</w:t>
      </w:r>
      <w:r>
        <w:rPr>
          <w:rFonts w:ascii="Consolas" w:hAnsi="Consolas"/>
          <w:color w:val="333333"/>
          <w:sz w:val="18"/>
        </w:rPr>
        <w:br w:type="textWrapping"/>
      </w:r>
      <w:r>
        <w:rPr>
          <w:rFonts w:ascii="Consolas" w:hAnsi="Consolas"/>
          <w:color w:val="333333"/>
          <w:sz w:val="18"/>
        </w:rPr>
        <w:t xml:space="preserve">  using adaptive thresholding and refined</w:t>
      </w:r>
      <w:r>
        <w:rPr>
          <w:rFonts w:ascii="Consolas" w:hAnsi="Consolas"/>
          <w:color w:val="333333"/>
          <w:sz w:val="18"/>
        </w:rPr>
        <w:br w:type="textWrapping"/>
      </w:r>
      <w:r>
        <w:rPr>
          <w:rFonts w:ascii="Consolas" w:hAnsi="Consolas"/>
          <w:color w:val="333333"/>
          <w:sz w:val="18"/>
        </w:rPr>
        <w:t xml:space="preserve">  segmentation. Validated on flood events in</w:t>
      </w:r>
      <w:r>
        <w:rPr>
          <w:rFonts w:ascii="Consolas" w:hAnsi="Consolas"/>
          <w:color w:val="333333"/>
          <w:sz w:val="18"/>
        </w:rPr>
        <w:br w:type="textWrapping"/>
      </w:r>
      <w:r>
        <w:rPr>
          <w:rFonts w:ascii="Consolas" w:hAnsi="Consolas"/>
          <w:color w:val="333333"/>
          <w:sz w:val="18"/>
        </w:rPr>
        <w:t xml:space="preserve">  South Asia, East Africa, and Southeast Asia.</w:t>
      </w:r>
      <w:r>
        <w:rPr>
          <w:rFonts w:ascii="Consolas" w:hAnsi="Consolas"/>
          <w:color w:val="333333"/>
          <w:sz w:val="18"/>
        </w:rPr>
        <w:br w:type="textWrapping"/>
      </w:r>
      <w:r>
        <w:rPr>
          <w:rFonts w:ascii="Consolas" w:hAnsi="Consolas"/>
          <w:color w:val="333333"/>
          <w:sz w:val="18"/>
        </w:rPr>
        <w:t>capabilities:</w:t>
      </w:r>
      <w:r>
        <w:rPr>
          <w:rFonts w:ascii="Consolas" w:hAnsi="Consolas"/>
          <w:color w:val="333333"/>
          <w:sz w:val="18"/>
        </w:rPr>
        <w:br w:type="textWrapping"/>
      </w:r>
      <w:r>
        <w:rPr>
          <w:rFonts w:ascii="Consolas" w:hAnsi="Consolas"/>
          <w:color w:val="333333"/>
          <w:sz w:val="18"/>
        </w:rPr>
        <w:t xml:space="preserve">  inputs:</w:t>
      </w:r>
      <w:r>
        <w:rPr>
          <w:rFonts w:ascii="Consolas" w:hAnsi="Consolas"/>
          <w:color w:val="333333"/>
          <w:sz w:val="18"/>
        </w:rPr>
        <w:br w:type="textWrapping"/>
      </w:r>
      <w:r>
        <w:rPr>
          <w:rFonts w:ascii="Consolas" w:hAnsi="Consolas"/>
          <w:color w:val="333333"/>
          <w:sz w:val="18"/>
        </w:rPr>
        <w:t xml:space="preserve">    - name: sar_image</w:t>
      </w:r>
      <w:r>
        <w:rPr>
          <w:rFonts w:ascii="Consolas" w:hAnsi="Consolas"/>
          <w:color w:val="333333"/>
          <w:sz w:val="18"/>
        </w:rPr>
        <w:br w:type="textWrapping"/>
      </w:r>
      <w:r>
        <w:rPr>
          <w:rFonts w:ascii="Consolas" w:hAnsi="Consolas"/>
          <w:color w:val="333333"/>
          <w:sz w:val="18"/>
        </w:rPr>
        <w:t xml:space="preserve">      type: GeoTIFF</w:t>
      </w:r>
      <w:r>
        <w:rPr>
          <w:rFonts w:ascii="Consolas" w:hAnsi="Consolas"/>
          <w:color w:val="333333"/>
          <w:sz w:val="18"/>
        </w:rPr>
        <w:br w:type="textWrapping"/>
      </w:r>
      <w:r>
        <w:rPr>
          <w:rFonts w:ascii="Consolas" w:hAnsi="Consolas"/>
          <w:color w:val="333333"/>
          <w:sz w:val="18"/>
        </w:rPr>
        <w:t xml:space="preserve">      bands: [VV, VH]</w:t>
      </w:r>
      <w:r>
        <w:rPr>
          <w:rFonts w:ascii="Consolas" w:hAnsi="Consolas"/>
          <w:color w:val="333333"/>
          <w:sz w:val="18"/>
        </w:rPr>
        <w:br w:type="textWrapping"/>
      </w:r>
      <w:r>
        <w:rPr>
          <w:rFonts w:ascii="Consolas" w:hAnsi="Consolas"/>
          <w:color w:val="333333"/>
          <w:sz w:val="18"/>
        </w:rPr>
        <w:t xml:space="preserve">      description: Sentinel-1 GRD preprocessed scene</w:t>
      </w:r>
      <w:r>
        <w:rPr>
          <w:rFonts w:ascii="Consolas" w:hAnsi="Consolas"/>
          <w:color w:val="333333"/>
          <w:sz w:val="18"/>
        </w:rPr>
        <w:br w:type="textWrapping"/>
      </w:r>
      <w:r>
        <w:rPr>
          <w:rFonts w:ascii="Consolas" w:hAnsi="Consolas"/>
          <w:color w:val="333333"/>
          <w:sz w:val="18"/>
        </w:rPr>
        <w:t xml:space="preserve">    - name: region</w:t>
      </w:r>
      <w:r>
        <w:rPr>
          <w:rFonts w:ascii="Consolas" w:hAnsi="Consolas"/>
          <w:color w:val="333333"/>
          <w:sz w:val="18"/>
        </w:rPr>
        <w:br w:type="textWrapping"/>
      </w:r>
      <w:r>
        <w:rPr>
          <w:rFonts w:ascii="Consolas" w:hAnsi="Consolas"/>
          <w:color w:val="333333"/>
          <w:sz w:val="18"/>
        </w:rPr>
        <w:t xml:space="preserve">      type: GeoJSON</w:t>
      </w:r>
      <w:r>
        <w:rPr>
          <w:rFonts w:ascii="Consolas" w:hAnsi="Consolas"/>
          <w:color w:val="333333"/>
          <w:sz w:val="18"/>
        </w:rPr>
        <w:br w:type="textWrapping"/>
      </w:r>
      <w:r>
        <w:rPr>
          <w:rFonts w:ascii="Consolas" w:hAnsi="Consolas"/>
          <w:color w:val="333333"/>
          <w:sz w:val="18"/>
        </w:rPr>
        <w:t xml:space="preserve">      description: Area of interest polygon</w:t>
      </w:r>
      <w:r>
        <w:rPr>
          <w:rFonts w:ascii="Consolas" w:hAnsi="Consolas"/>
          <w:color w:val="333333"/>
          <w:sz w:val="18"/>
        </w:rPr>
        <w:br w:type="textWrapping"/>
      </w:r>
      <w:r>
        <w:rPr>
          <w:rFonts w:ascii="Consolas" w:hAnsi="Consolas"/>
          <w:color w:val="333333"/>
          <w:sz w:val="18"/>
        </w:rPr>
        <w:t xml:space="preserve">  outputs:</w:t>
      </w:r>
      <w:r>
        <w:rPr>
          <w:rFonts w:ascii="Consolas" w:hAnsi="Consolas"/>
          <w:color w:val="333333"/>
          <w:sz w:val="18"/>
        </w:rPr>
        <w:br w:type="textWrapping"/>
      </w:r>
      <w:r>
        <w:rPr>
          <w:rFonts w:ascii="Consolas" w:hAnsi="Consolas"/>
          <w:color w:val="333333"/>
          <w:sz w:val="18"/>
        </w:rPr>
        <w:t xml:space="preserve">    - name: flood_mask</w:t>
      </w:r>
      <w:r>
        <w:rPr>
          <w:rFonts w:ascii="Consolas" w:hAnsi="Consolas"/>
          <w:color w:val="333333"/>
          <w:sz w:val="18"/>
        </w:rPr>
        <w:br w:type="textWrapping"/>
      </w:r>
      <w:r>
        <w:rPr>
          <w:rFonts w:ascii="Consolas" w:hAnsi="Consolas"/>
          <w:color w:val="333333"/>
          <w:sz w:val="18"/>
        </w:rPr>
        <w:t xml:space="preserve">      type: GeoTIFF</w:t>
      </w:r>
      <w:r>
        <w:rPr>
          <w:rFonts w:ascii="Consolas" w:hAnsi="Consolas"/>
          <w:color w:val="333333"/>
          <w:sz w:val="18"/>
        </w:rPr>
        <w:br w:type="textWrapping"/>
      </w:r>
      <w:r>
        <w:rPr>
          <w:rFonts w:ascii="Consolas" w:hAnsi="Consolas"/>
          <w:color w:val="333333"/>
          <w:sz w:val="18"/>
        </w:rPr>
        <w:t xml:space="preserve">      description: Binary water extent classification</w:t>
      </w:r>
      <w:r>
        <w:rPr>
          <w:rFonts w:ascii="Consolas" w:hAnsi="Consolas"/>
          <w:color w:val="333333"/>
          <w:sz w:val="18"/>
        </w:rPr>
        <w:br w:type="textWrapping"/>
      </w:r>
      <w:r>
        <w:rPr>
          <w:rFonts w:ascii="Consolas" w:hAnsi="Consolas"/>
          <w:color w:val="333333"/>
          <w:sz w:val="18"/>
        </w:rPr>
        <w:t xml:space="preserve">    - name: statistics</w:t>
      </w:r>
      <w:r>
        <w:rPr>
          <w:rFonts w:ascii="Consolas" w:hAnsi="Consolas"/>
          <w:color w:val="333333"/>
          <w:sz w:val="18"/>
        </w:rPr>
        <w:br w:type="textWrapping"/>
      </w:r>
      <w:r>
        <w:rPr>
          <w:rFonts w:ascii="Consolas" w:hAnsi="Consolas"/>
          <w:color w:val="333333"/>
          <w:sz w:val="18"/>
        </w:rPr>
        <w:t xml:space="preserve">      type: JSON</w:t>
      </w:r>
      <w:r>
        <w:rPr>
          <w:rFonts w:ascii="Consolas" w:hAnsi="Consolas"/>
          <w:color w:val="333333"/>
          <w:sz w:val="18"/>
        </w:rPr>
        <w:br w:type="textWrapping"/>
      </w:r>
      <w:r>
        <w:rPr>
          <w:rFonts w:ascii="Consolas" w:hAnsi="Consolas"/>
          <w:color w:val="333333"/>
          <w:sz w:val="18"/>
        </w:rPr>
        <w:t xml:space="preserve">      description: Flood area, water body count, confidence</w:t>
      </w:r>
      <w:r>
        <w:rPr>
          <w:rFonts w:ascii="Consolas" w:hAnsi="Consolas"/>
          <w:color w:val="333333"/>
          <w:sz w:val="18"/>
        </w:rPr>
        <w:br w:type="textWrapping"/>
      </w:r>
      <w:r>
        <w:rPr>
          <w:rFonts w:ascii="Consolas" w:hAnsi="Consolas"/>
          <w:color w:val="333333"/>
          <w:sz w:val="18"/>
        </w:rPr>
        <w:t xml:space="preserve">  spatial_resolution: 10m</w:t>
      </w:r>
      <w:r>
        <w:rPr>
          <w:rFonts w:ascii="Consolas" w:hAnsi="Consolas"/>
          <w:color w:val="333333"/>
          <w:sz w:val="18"/>
        </w:rPr>
        <w:br w:type="textWrapping"/>
      </w:r>
      <w:r>
        <w:rPr>
          <w:rFonts w:ascii="Consolas" w:hAnsi="Consolas"/>
          <w:color w:val="333333"/>
          <w:sz w:val="18"/>
        </w:rPr>
        <w:t xml:space="preserve">  temporal_range: [2014-10-03, ongoing]</w:t>
      </w:r>
      <w:r>
        <w:rPr>
          <w:rFonts w:ascii="Consolas" w:hAnsi="Consolas"/>
          <w:color w:val="333333"/>
          <w:sz w:val="18"/>
        </w:rPr>
        <w:br w:type="textWrapping"/>
      </w:r>
      <w:r>
        <w:rPr>
          <w:rFonts w:ascii="Consolas" w:hAnsi="Consolas"/>
          <w:color w:val="333333"/>
          <w:sz w:val="18"/>
        </w:rPr>
        <w:t>execution:</w:t>
      </w:r>
      <w:r>
        <w:rPr>
          <w:rFonts w:ascii="Consolas" w:hAnsi="Consolas"/>
          <w:color w:val="333333"/>
          <w:sz w:val="18"/>
        </w:rPr>
        <w:br w:type="textWrapping"/>
      </w:r>
      <w:r>
        <w:rPr>
          <w:rFonts w:ascii="Consolas" w:hAnsi="Consolas"/>
          <w:color w:val="333333"/>
          <w:sz w:val="18"/>
        </w:rPr>
        <w:t xml:space="preserve">  runtime: python3.10</w:t>
      </w:r>
      <w:r>
        <w:rPr>
          <w:rFonts w:ascii="Consolas" w:hAnsi="Consolas"/>
          <w:color w:val="333333"/>
          <w:sz w:val="18"/>
        </w:rPr>
        <w:br w:type="textWrapping"/>
      </w:r>
      <w:r>
        <w:rPr>
          <w:rFonts w:ascii="Consolas" w:hAnsi="Consolas"/>
          <w:color w:val="333333"/>
          <w:sz w:val="18"/>
        </w:rPr>
        <w:t xml:space="preserve">  entrypoint: executor.run</w:t>
      </w:r>
      <w:r>
        <w:rPr>
          <w:rFonts w:ascii="Consolas" w:hAnsi="Consolas"/>
          <w:color w:val="333333"/>
          <w:sz w:val="18"/>
        </w:rPr>
        <w:br w:type="textWrapping"/>
      </w:r>
      <w:r>
        <w:rPr>
          <w:rFonts w:ascii="Consolas" w:hAnsi="Consolas"/>
          <w:color w:val="333333"/>
          <w:sz w:val="18"/>
        </w:rPr>
        <w:t xml:space="preserve">  image: registry.geonode.io/flood-mapping:v2.1.0</w:t>
      </w:r>
      <w:r>
        <w:rPr>
          <w:rFonts w:ascii="Consolas" w:hAnsi="Consolas"/>
          <w:color w:val="333333"/>
          <w:sz w:val="18"/>
        </w:rPr>
        <w:br w:type="textWrapping"/>
      </w:r>
      <w:r>
        <w:rPr>
          <w:rFonts w:ascii="Consolas" w:hAnsi="Consolas"/>
          <w:color w:val="333333"/>
          <w:sz w:val="18"/>
        </w:rPr>
        <w:t xml:space="preserve">  resources:</w:t>
      </w:r>
      <w:r>
        <w:rPr>
          <w:rFonts w:ascii="Consolas" w:hAnsi="Consolas"/>
          <w:color w:val="333333"/>
          <w:sz w:val="18"/>
        </w:rPr>
        <w:br w:type="textWrapping"/>
      </w:r>
      <w:r>
        <w:rPr>
          <w:rFonts w:ascii="Consolas" w:hAnsi="Consolas"/>
          <w:color w:val="333333"/>
          <w:sz w:val="18"/>
        </w:rPr>
        <w:t xml:space="preserve">    cpu: 4</w:t>
      </w:r>
      <w:r>
        <w:rPr>
          <w:rFonts w:ascii="Consolas" w:hAnsi="Consolas"/>
          <w:color w:val="333333"/>
          <w:sz w:val="18"/>
        </w:rPr>
        <w:br w:type="textWrapping"/>
      </w:r>
      <w:r>
        <w:rPr>
          <w:rFonts w:ascii="Consolas" w:hAnsi="Consolas"/>
          <w:color w:val="333333"/>
          <w:sz w:val="18"/>
        </w:rPr>
        <w:t xml:space="preserve">    memory: 16Gi</w:t>
      </w:r>
      <w:r>
        <w:rPr>
          <w:rFonts w:ascii="Consolas" w:hAnsi="Consolas"/>
          <w:color w:val="333333"/>
          <w:sz w:val="18"/>
        </w:rPr>
        <w:br w:type="textWrapping"/>
      </w:r>
      <w:r>
        <w:rPr>
          <w:rFonts w:ascii="Consolas" w:hAnsi="Consolas"/>
          <w:color w:val="333333"/>
          <w:sz w:val="18"/>
        </w:rPr>
        <w:t xml:space="preserve">    storage: 50Gi</w:t>
      </w:r>
      <w:r>
        <w:rPr>
          <w:rFonts w:ascii="Consolas" w:hAnsi="Consolas"/>
          <w:color w:val="333333"/>
          <w:sz w:val="18"/>
        </w:rPr>
        <w:br w:type="textWrapping"/>
      </w:r>
      <w:r>
        <w:rPr>
          <w:rFonts w:ascii="Consolas" w:hAnsi="Consolas"/>
          <w:color w:val="333333"/>
          <w:sz w:val="18"/>
        </w:rPr>
        <w:t xml:space="preserve">  avg_execution_time: 180s</w:t>
      </w:r>
      <w:r>
        <w:rPr>
          <w:rFonts w:ascii="Consolas" w:hAnsi="Consolas"/>
          <w:color w:val="333333"/>
          <w:sz w:val="18"/>
        </w:rPr>
        <w:br w:type="textWrapping"/>
      </w:r>
      <w:r>
        <w:rPr>
          <w:rFonts w:ascii="Consolas" w:hAnsi="Consolas"/>
          <w:color w:val="333333"/>
          <w:sz w:val="18"/>
        </w:rPr>
        <w:t>compliance:</w:t>
      </w:r>
      <w:r>
        <w:rPr>
          <w:rFonts w:ascii="Consolas" w:hAnsi="Consolas"/>
          <w:color w:val="333333"/>
          <w:sz w:val="18"/>
        </w:rPr>
        <w:br w:type="textWrapping"/>
      </w:r>
      <w:r>
        <w:rPr>
          <w:rFonts w:ascii="Consolas" w:hAnsi="Consolas"/>
          <w:color w:val="333333"/>
          <w:sz w:val="18"/>
        </w:rPr>
        <w:t xml:space="preserve">  license: CC-BY-4.0</w:t>
      </w:r>
      <w:r>
        <w:rPr>
          <w:rFonts w:ascii="Consolas" w:hAnsi="Consolas"/>
          <w:color w:val="333333"/>
          <w:sz w:val="18"/>
        </w:rPr>
        <w:br w:type="textWrapping"/>
      </w:r>
      <w:r>
        <w:rPr>
          <w:rFonts w:ascii="Consolas" w:hAnsi="Consolas"/>
          <w:color w:val="333333"/>
          <w:sz w:val="18"/>
        </w:rPr>
        <w:t xml:space="preserve">  sovereignty: unrestricted</w:t>
      </w:r>
      <w:r>
        <w:rPr>
          <w:rFonts w:ascii="Consolas" w:hAnsi="Consolas"/>
          <w:color w:val="333333"/>
          <w:sz w:val="18"/>
        </w:rPr>
        <w:br w:type="textWrapping"/>
      </w:r>
      <w:r>
        <w:rPr>
          <w:rFonts w:ascii="Consolas" w:hAnsi="Consolas"/>
          <w:color w:val="333333"/>
          <w:sz w:val="18"/>
        </w:rPr>
        <w:t>trust:</w:t>
      </w:r>
      <w:r>
        <w:rPr>
          <w:rFonts w:ascii="Consolas" w:hAnsi="Consolas"/>
          <w:color w:val="333333"/>
          <w:sz w:val="18"/>
        </w:rPr>
        <w:br w:type="textWrapping"/>
      </w:r>
      <w:r>
        <w:rPr>
          <w:rFonts w:ascii="Consolas" w:hAnsi="Consolas"/>
          <w:color w:val="333333"/>
          <w:sz w:val="18"/>
        </w:rPr>
        <w:t xml:space="preserve">  provenance: geonode.io/provenance/s1-flood/v2.1.0</w:t>
      </w:r>
      <w:r>
        <w:rPr>
          <w:rFonts w:ascii="Consolas" w:hAnsi="Consolas"/>
          <w:color w:val="333333"/>
          <w:sz w:val="18"/>
        </w:rPr>
        <w:br w:type="textWrapping"/>
      </w:r>
      <w:r>
        <w:rPr>
          <w:rFonts w:ascii="Consolas" w:hAnsi="Consolas"/>
          <w:color w:val="333333"/>
          <w:sz w:val="18"/>
        </w:rPr>
        <w:t xml:space="preserve">  GeoTrust_score: 0.92</w:t>
      </w:r>
    </w:p>
    <w:p w14:paraId="75251C62">
      <w:pPr>
        <w:pStyle w:val="4"/>
      </w:pPr>
      <w:r>
        <w:t>9. GeoSkill 运行时标准</w:t>
      </w:r>
    </w:p>
    <w:p w14:paraId="5295FDB4">
      <w:r>
        <w:rPr>
          <w:rFonts w:ascii="Calibri" w:hAnsi="Calibri"/>
          <w:sz w:val="22"/>
        </w:rPr>
        <w:t>GeoSkill 是地理空间分析能力的可执行化身。它将代码、环境规范和 GeoCard 打包成一个版本化、可测试、可发布的单元。GeoSkill 标准定义了目录结构和生命周期，确保任何合规运行时都能执行任何合规 GeoSkill，而无需修改——类似于任何 OCI 合规容器运行时都能执行任何 OCI 合规容器镜像。</w:t>
      </w:r>
    </w:p>
    <w:p w14:paraId="3EAF48B7">
      <w:r>
        <w:rPr>
          <w:rFonts w:ascii="Calibri" w:hAnsi="Calibri"/>
          <w:sz w:val="22"/>
        </w:rPr>
        <w:t>标准 GeoSkill 目录结构包括：geocard.yaml（语义身份）、executor.py 或等效文件（核心执行逻辑，接收标准化输入并产生标准化输出）、workflow.yaml（多步技能的可选 DAG 定义）、environment.yaml（Conda 或 Docker 环境规范，确保可复现性）、tests/ 目录（包含验证数据和单元测试）以及 README.md（面向人类的文档）。技能在可能的情况下是无状态的：它们通过定义的输入模式接收所有输入，在隔离环境中处理，并通过定义的输出模式返回输出。</w:t>
      </w:r>
    </w:p>
    <w:p w14:paraId="18FA3CCF">
      <w:r>
        <w:rPr>
          <w:rFonts w:ascii="Calibri" w:hAnsi="Calibri"/>
          <w:sz w:val="22"/>
        </w:rPr>
        <w:t>GeoSkills 专为组合而设计。GeoAgent 规划器可以将多个技能链接为有向无环图（DAG），其中一个技能的输出成为下一个技能的输入。例如，一个洪水风险评估工作流可以链接：Sentinel-1 预处理 → 水体范围制图（上述定义的技能）→ 人口暴露分区统计 → 风险报告生成。链中的每个技能独立执行——可能在不同的 GeoNodes 上——GeoMCP 在节点间传递中间结果。</w:t>
      </w:r>
    </w:p>
    <w:p w14:paraId="5E187016">
      <w:pPr>
        <w:shd w:val="clear" w:fill="F5F5F5"/>
        <w:spacing w:before="120" w:after="120"/>
      </w:pPr>
      <w:r>
        <w:rPr>
          <w:rFonts w:ascii="Consolas" w:hAnsi="Consolas"/>
          <w:color w:val="333333"/>
          <w:sz w:val="18"/>
        </w:rPr>
        <w:t>flood_mapping/</w:t>
      </w:r>
      <w:r>
        <w:rPr>
          <w:rFonts w:ascii="Consolas" w:hAnsi="Consolas"/>
          <w:color w:val="333333"/>
          <w:sz w:val="18"/>
        </w:rPr>
        <w:br w:type="textWrapping"/>
      </w:r>
      <w:r>
        <w:rPr>
          <w:rFonts w:ascii="Consolas" w:hAnsi="Consolas"/>
          <w:color w:val="333333"/>
          <w:sz w:val="18"/>
        </w:rPr>
        <w:t>├── geocard.yaml          # 语义身份卡</w:t>
      </w:r>
      <w:r>
        <w:rPr>
          <w:rFonts w:ascii="Consolas" w:hAnsi="Consolas"/>
          <w:color w:val="333333"/>
          <w:sz w:val="18"/>
        </w:rPr>
        <w:br w:type="textWrapping"/>
      </w:r>
      <w:r>
        <w:rPr>
          <w:rFonts w:ascii="Consolas" w:hAnsi="Consolas"/>
          <w:color w:val="333333"/>
          <w:sz w:val="18"/>
        </w:rPr>
        <w:t>├── executor.py           # 核心执行逻辑</w:t>
      </w:r>
      <w:r>
        <w:rPr>
          <w:rFonts w:ascii="Consolas" w:hAnsi="Consolas"/>
          <w:color w:val="333333"/>
          <w:sz w:val="18"/>
        </w:rPr>
        <w:br w:type="textWrapping"/>
      </w:r>
      <w:r>
        <w:rPr>
          <w:rFonts w:ascii="Consolas" w:hAnsi="Consolas"/>
          <w:color w:val="333333"/>
          <w:sz w:val="18"/>
        </w:rPr>
        <w:t>├── workflow.yaml         # 多步 DAG 定义</w:t>
      </w:r>
      <w:r>
        <w:rPr>
          <w:rFonts w:ascii="Consolas" w:hAnsi="Consolas"/>
          <w:color w:val="333333"/>
          <w:sz w:val="18"/>
        </w:rPr>
        <w:br w:type="textWrapping"/>
      </w:r>
      <w:r>
        <w:rPr>
          <w:rFonts w:ascii="Consolas" w:hAnsi="Consolas"/>
          <w:color w:val="333333"/>
          <w:sz w:val="18"/>
        </w:rPr>
        <w:t>├── environment.yaml      # 可复现运行时规范</w:t>
      </w:r>
      <w:r>
        <w:rPr>
          <w:rFonts w:ascii="Consolas" w:hAnsi="Consolas"/>
          <w:color w:val="333333"/>
          <w:sz w:val="18"/>
        </w:rPr>
        <w:br w:type="textWrapping"/>
      </w:r>
      <w:r>
        <w:rPr>
          <w:rFonts w:ascii="Consolas" w:hAnsi="Consolas"/>
          <w:color w:val="333333"/>
          <w:sz w:val="18"/>
        </w:rPr>
        <w:t>├── tests/</w:t>
      </w:r>
      <w:r>
        <w:rPr>
          <w:rFonts w:ascii="Consolas" w:hAnsi="Consolas"/>
          <w:color w:val="333333"/>
          <w:sz w:val="18"/>
        </w:rPr>
        <w:br w:type="textWrapping"/>
      </w:r>
      <w:r>
        <w:rPr>
          <w:rFonts w:ascii="Consolas" w:hAnsi="Consolas"/>
          <w:color w:val="333333"/>
          <w:sz w:val="18"/>
        </w:rPr>
        <w:t>│   ├── test_data/        # 验证夹具</w:t>
      </w:r>
      <w:r>
        <w:rPr>
          <w:rFonts w:ascii="Consolas" w:hAnsi="Consolas"/>
          <w:color w:val="333333"/>
          <w:sz w:val="18"/>
        </w:rPr>
        <w:br w:type="textWrapping"/>
      </w:r>
      <w:r>
        <w:rPr>
          <w:rFonts w:ascii="Consolas" w:hAnsi="Consolas"/>
          <w:color w:val="333333"/>
          <w:sz w:val="18"/>
        </w:rPr>
        <w:t>│   └── test_executor.py  # 单元与集成测试</w:t>
      </w:r>
      <w:r>
        <w:rPr>
          <w:rFonts w:ascii="Consolas" w:hAnsi="Consolas"/>
          <w:color w:val="333333"/>
          <w:sz w:val="18"/>
        </w:rPr>
        <w:br w:type="textWrapping"/>
      </w:r>
      <w:r>
        <w:rPr>
          <w:rFonts w:ascii="Consolas" w:hAnsi="Consolas"/>
          <w:color w:val="333333"/>
          <w:sz w:val="18"/>
        </w:rPr>
        <w:t>└── README.md             # 人类文档</w:t>
      </w:r>
    </w:p>
    <w:p w14:paraId="14336BEC">
      <w:pPr>
        <w:pStyle w:val="4"/>
      </w:pPr>
      <w:r>
        <w:t>10. GeoAgent 编排框架</w:t>
      </w:r>
    </w:p>
    <w:p w14:paraId="11ECC11F">
      <w:r>
        <w:rPr>
          <w:rFonts w:ascii="Calibri" w:hAnsi="Calibri"/>
          <w:sz w:val="22"/>
        </w:rPr>
        <w:t>GeoAgent 是 GeoNexus 的 AI 原生编排层。它接收用户意图——以自然语言或结构化分析目标表达——并将其转化为由 GeoSkills 组成的可执行工作流，在 GeoNodes 之间调度，综合结果后返回给用户。</w:t>
      </w:r>
    </w:p>
    <w:p w14:paraId="72128FE4">
      <w:r>
        <w:rPr>
          <w:rFonts w:ascii="Calibri" w:hAnsi="Calibri"/>
          <w:sz w:val="22"/>
        </w:rPr>
        <w:t>GeoAgent 管道包含五个阶段。（1）意图解析：用户的自然语言请求被解析为结构化分析目标，指明关注的现象、空间域、时间窗口、所需输出以及任何约束。由 LLM 使用结构化输出模式执行此解析。（2）语义检索：结构化目标被嵌入，并通过向量相似度搜索（Milvus/pgvector）查询 GeoCard 注册中心，辅以在 GeoTKG 中的知识图谱遍历，以发现物理上相关的资产（例如，"洪水制图需要 SAR 或光学水体指数能力"）。（3）工作流规划：基于 LangGraph 的规划器生成优化的 GeoSkill 调用 DAG，解决输入/输出模式兼容性，估计执行成本，并根据合规约束进行验证。当多种能力组合都能满足目标时，规划器可以提出备选工作流。（4）执行路由：DAG 中的每个 GeoSkill 调用根据数据位置、节点能力、当前负载、主权约束和 GeoTrust 评分被调度到合适的 GeoNode。GeoMCP execute 调用携带完整的执行上下文，并通过 status 轮询进行监控。（5）结果综合：工作流完成后，GeoAgent 收集所有节点的输出，执行任何必要的后处理（地图渲染、统计聚合、报告生成），并通过 ChatMap 界面向用户返回统一结果。</w:t>
      </w:r>
    </w:p>
    <w:p w14:paraId="2203622D">
      <w:r>
        <w:rPr>
          <w:rFonts w:ascii="Calibri" w:hAnsi="Calibri"/>
          <w:sz w:val="22"/>
        </w:rPr>
        <w:t>GeoAgent 框架使用 LangGraph 实现，进行确定性、可审计的规划，具有明确的状态管理，避免无限制的自主循环。每个规划决策都记录到审计追踪中，支持事后审查为何选择某个特定数据集、为何选择某个特定节点执行、以及考虑了哪些替代方案。这种透明度对于高风险应用中的问责至关重要，如灾害响应资源分配或向联合国统计委员会报告 SDG 进展。</w:t>
      </w:r>
    </w:p>
    <w:p w14:paraId="49C58459">
      <w:r>
        <w:rPr>
          <w:rFonts w:ascii="Calibri" w:hAnsi="Calibri"/>
          <w:sz w:val="22"/>
        </w:rPr>
        <w:t>GeoAgent 借鉴了 AutoGIS（Chen, Bai &amp; Li et al., 2025）建立的合约驱动自主代理范式，该范式证明了将地理空间分析构建为合约验证问题——其中 Data Agent 发现和验证数据合约，Code Agent 合成和自修复执行代码——相比直接的 LLM 到代码方法能够实现显著更高的可靠性。GeoNexus 将这一模式扩展到联邦化环境中，其中合约（GeoCards）可能跨越多个主权节点，合规验证成为一个分布式共识问题。</w:t>
      </w:r>
    </w:p>
    <w:p w14:paraId="17BB6010">
      <w:pPr>
        <w:pStyle w:val="4"/>
      </w:pPr>
      <w:r>
        <w:t>11. GeoNode 架构</w:t>
      </w:r>
    </w:p>
    <w:p w14:paraId="06B88766">
      <w:r>
        <w:rPr>
          <w:rFonts w:ascii="Calibri" w:hAnsi="Calibri"/>
          <w:sz w:val="22"/>
        </w:rPr>
        <w:t>GeoNode 是 GeoNexus 网络的主权执行单元。它是"数据留在本地"原则的架构体现——GeoNode 将其运营者管辖和行政边界内的数据和技能托管在其内部，仅对外部网络暴露能力描述，并在本地执行分析工作负载，仅返回衍生结果。</w:t>
      </w:r>
    </w:p>
    <w:p w14:paraId="1308F2CC">
      <w:r>
        <w:rPr>
          <w:rFonts w:ascii="Calibri" w:hAnsi="Calibri"/>
          <w:sz w:val="22"/>
        </w:rPr>
        <w:t>每个 GeoNode 提供五项核心服务。本地 GeoCard 注册中心维护节点上所有资产的权威目录，具备语义发现的向量搜索功能和向上游注册中心选择性联邦同步的协议。GeoMCP 端点暴露标准协议方法（discover、describe、execute、status）并处理认证、授权和请求验证。技能运行时提供隔离执行环境——对受信任技能使用基于容器的环境，对不受信任或社区贡献的技能使用 WebAssembly（WASM）沙箱——通过 cgroups 强制执行资源限制。OPA 策略引擎在任何数据访问或技能执行前评估 Rego 策略，将国家数据保护法、组织访问控制规则和主权约束编码为机器可执行的规则。审计日志记录器将每个请求、策略评估、执行事件和结果记录到不可变的、仅追加的日志中，用于事后合规验证和 GeoTrust 评分。</w:t>
      </w:r>
    </w:p>
    <w:p w14:paraId="2D3D09F6">
      <w:r>
        <w:rPr>
          <w:rFonts w:ascii="Calibri" w:hAnsi="Calibri"/>
          <w:sz w:val="22"/>
        </w:rPr>
        <w:t>GeoNodes 可部署在广泛的环境中：作为 Kubernetes 部署在公共或私有云中，用于机构数据中心；作为 Docker Compose 栈部署在裸金属服务器上，用于资源受限的环境；或作为轻量级 WASM 专用运行时部署在边缘设备上，用于实时传感器数据处理。GeoNode 规范定义了合规级别——Core、Standard 和 Advanced——允许实现者选择适合其基础设施的功能集，同时在 GeoMCP 协议层面保持互操作性。</w:t>
      </w:r>
    </w:p>
    <w:p w14:paraId="04AEDF57">
      <w:pPr>
        <w:pStyle w:val="4"/>
      </w:pPr>
      <w:r>
        <w:t>12. GeoTrust 与治理框架</w:t>
      </w:r>
    </w:p>
    <w:p w14:paraId="24DC0107">
      <w:r>
        <w:rPr>
          <w:rFonts w:ascii="Calibri" w:hAnsi="Calibri"/>
          <w:sz w:val="22"/>
        </w:rPr>
        <w:t>在跨越不同机构、管辖范围和信任域的联邦化生态系统中，信任不能是假定的——它必须是可计算的、可审计的、动态维护的。GeoTrust 是 GeoNexus 的声誉和治理层，为网络中的每个资产（GeoCard）、能力（GeoSkill）和执行环境（GeoNode）分配量化的信任评分。</w:t>
      </w:r>
    </w:p>
    <w:p w14:paraId="62006B5C">
      <w:r>
        <w:rPr>
          <w:rFonts w:ascii="Calibri" w:hAnsi="Calibri"/>
          <w:sz w:val="22"/>
        </w:rPr>
        <w:t>GeoTrust 评分从四个维度计算。来源记录建立密码学的监管链：谁创建了该资产，做了哪些修改，哪些机构进行了审查或背书。社区信号捕获分布式使用反馈：下载量、执行成功率、用户评分和报告问题——以抗 Sybil 攻击的权重聚合防止操纵。执行审计日志提供客观的性能数据：任务完成率、对标验证基准的结果准确性、正常运行时间统计和策略合规记录。治理背书代表来自认可机构的正式验证——联合国机构验证 SDG 指标方法论、国家测绘机构认证参考数据集，或同行机构通过独立复现研究确认模型准确性。</w:t>
      </w:r>
    </w:p>
    <w:p w14:paraId="523D73D3">
      <w:r>
        <w:rPr>
          <w:rFonts w:ascii="Calibri" w:hAnsi="Calibri"/>
          <w:sz w:val="22"/>
        </w:rPr>
        <w:t>GeoTrust 是 GeoNexus 技术栈的一个可选但强烈推荐的层。节点和用户可以选择按最低 GeoTrust 评分过滤能力、在发现结果中优先推荐高信任度资产、或要求特定治理背书用于关键应用场景。评分算法是透明的，底层数据是公开可审计的，防止 GeoTrust 成为中心化的守门人，同时仍在去中心化生态系统中提供有意义的品质信号。</w:t>
      </w:r>
    </w:p>
    <w:p w14:paraId="1EF6C6C3">
      <w:r>
        <w:br w:type="page"/>
      </w:r>
    </w:p>
    <w:p w14:paraId="1B81D811">
      <w:pPr>
        <w:pStyle w:val="3"/>
      </w:pPr>
      <w:r>
        <w:t>第四部分 — 联邦架构</w:t>
      </w:r>
    </w:p>
    <w:p w14:paraId="7C8E4962">
      <w:pPr>
        <w:pStyle w:val="4"/>
      </w:pPr>
      <w:r>
        <w:t>13. 联邦网络与路由</w:t>
      </w:r>
    </w:p>
    <w:p w14:paraId="0857CAC0">
      <w:r>
        <w:rPr>
          <w:rFonts w:ascii="Calibri" w:hAnsi="Calibri"/>
          <w:sz w:val="22"/>
        </w:rPr>
        <w:t>GeoNexus 不是一个单一网络，而是一个由独立运营的 GeoNodes 组成的网络，它们可以通过共享注册中心、对等 Gossip 协议或联邦目录互相发现。联邦模式是刻意去中心化的：不存在所有节点必须注册的中心注册中心，没有能使网络瘫痪的单点故障，也没有较小机构必须穿行的强制层级结构。</w:t>
      </w:r>
    </w:p>
    <w:p w14:paraId="6CA9777E">
      <w:r>
        <w:rPr>
          <w:rFonts w:ascii="Calibri" w:hAnsi="Calibri"/>
          <w:sz w:val="22"/>
        </w:rPr>
        <w:t>GeoGateway 作为一个可选的统一入口点用于客户端查询。当用户通过网关提交 discover 请求时，网关将查询扇出到其范围内的所有联邦化 GeoNode 注册中心，合并和去重结果，并返回统一的排序列表。execute 请求的路由决策以加权组合方式考虑四个因素：GeoCard 能力匹配（该节点是否有合适的数据和技能？）、数据局部性和主权约束（数据是否已在该节点上，是否可以合法在此处理？）、节点负载和网络延迟（当前队列深度和往返时间如何？）以及 GeoTrust 评分（该节点及其资产的可靠性记录如何？）。</w:t>
      </w:r>
    </w:p>
    <w:p w14:paraId="75EB061F">
      <w:r>
        <w:rPr>
          <w:rFonts w:ascii="Calibri" w:hAnsi="Calibri"/>
          <w:sz w:val="22"/>
        </w:rPr>
        <w:t>联邦模型在架构上借鉴了 CAFE（Xu, Li, Bai et al., 2018）建立的 Central Server + Multi-Worker 拓扑，其中一个中央调度器分解任务并将子任务调度到数据所在的工作节点。GeoNexus 将其从单组织 Star 拓扑推广为多组织 Mesh 拓扑，其中任何 GeoNode 都可以作为查询的入口点，路由决策以协作方式做出，而非由单一中央调度器决策。这需要解决跨域信任建立、联邦合约验证和分布式任务调度等新挑战，这些是 GeoNexus 项目中活跃的研发领域。</w:t>
      </w:r>
    </w:p>
    <w:p w14:paraId="7578FCBE">
      <w:pPr>
        <w:pStyle w:val="4"/>
      </w:pPr>
      <w:r>
        <w:t>14. 运行时适配器层</w:t>
      </w:r>
    </w:p>
    <w:p w14:paraId="04917977">
      <w:r>
        <w:rPr>
          <w:rFonts w:ascii="Calibri" w:hAnsi="Calibri"/>
          <w:sz w:val="22"/>
        </w:rPr>
        <w:t>GeoNexus 的一个核心设计承诺是：我们不取代现有的地理信息引擎；我们连接它们。全球地理空间社区在成熟的地理处理基础设施上投入了数十年和数十亿美元——Google Earth Engine、OGC 兼容的 Web Processing Services、Rasdaman 阵列数据库、基于 Apache Spark 的栅格分析管道以及无数特定领域的科学模型。运行时适配器层定义了标准接口，以最少量的封装代码将这些引擎封装为 GeoSkills。</w:t>
      </w:r>
    </w:p>
    <w:p w14:paraId="1D2BAB6F">
      <w:r>
        <w:rPr>
          <w:rFonts w:ascii="Calibri" w:hAnsi="Calibri"/>
          <w:sz w:val="22"/>
        </w:rPr>
        <w:t>一个适配器实现三个功能：translate（将 GeoMCP execute 请求转换为引擎特定的 API 调用）、execute（调用引擎并监控进度）以及 respond（将引擎输出转换回 GeoMCP 兼容的响应格式）。例如，一个 GEE 适配器会将 GeoSkill 调用转换为 Earth Engine JavaScript/Python API 调用，监控 EE 任务队列完成情况，并将结果打包为 GeoMCP 响应。这意味着一个在 GEE 工作流上有大量投资的机构可以将这些工作流作为 GeoSkills 暴露，无需迁移，立即使网络中的其他参与者能够通过 GeoNexus 发现和组合它们。</w:t>
      </w:r>
    </w:p>
    <w:p w14:paraId="1A891B40">
      <w:pPr>
        <w:pStyle w:val="4"/>
      </w:pPr>
      <w:r>
        <w:t>15. 知识图谱与 RAG 架构</w:t>
      </w:r>
    </w:p>
    <w:p w14:paraId="72A425FD">
      <w:r>
        <w:rPr>
          <w:rFonts w:ascii="Calibri" w:hAnsi="Calibri"/>
          <w:sz w:val="22"/>
        </w:rPr>
        <w:t>GeoNexus 的推理建立在物理地理空间知识之上——而非仅仅是文本嵌入之间的语义相似度。Geospatial Temporal Knowledge Graph（GeoTKG）存储了物理关系、地理约束、科学原理以及支配地理空间现象相互作用的领域规则。示例条目包括："洪泛区与河流网络在空间上相邻"、"坡度大于15度的坡面上的森林砍伐在2-5年内增加滑坡概率"以及"NDVI 异常比农业干旱宣告提前2-4周出现"。</w:t>
      </w:r>
    </w:p>
    <w:p w14:paraId="523B80E4">
      <w:r>
        <w:rPr>
          <w:rFonts w:ascii="Calibri" w:hAnsi="Calibri"/>
          <w:sz w:val="22"/>
        </w:rPr>
        <w:t>在 GeoAgent 的规划阶段，一个检索增强生成（RAG）管道分两个阶段运行。首先，用户意图被嵌入并用于对 GeoCard 注册中心进行向量相似度搜索，检索相关的 GeoCards。其次，提出的工作流对照 GeoTKG 进行验证：计划的操作序列能否产生物理上有意义的结果？选定数据集的空间和时间分辨率是否兼容？是否存在已知的物理约束会使分析无效（例如，光学影像在季风季节因云层覆盖而不适用，需要使用 SAR）？这一锚定步骤对于防止 AI 生成的工作流在语法上有效但在物理上无意义至关重要——这是纯统计 LLM 规划容易产生的一类错误。</w:t>
      </w:r>
    </w:p>
    <w:p w14:paraId="05476662">
      <w:r>
        <w:br w:type="page"/>
      </w:r>
    </w:p>
    <w:p w14:paraId="63C404AB">
      <w:pPr>
        <w:pStyle w:val="3"/>
      </w:pPr>
      <w:r>
        <w:t>第五部分 — 安全、合规与治理</w:t>
      </w:r>
    </w:p>
    <w:p w14:paraId="69436321">
      <w:pPr>
        <w:pStyle w:val="4"/>
      </w:pPr>
      <w:r>
        <w:t>16. 零信任安全架构</w:t>
      </w:r>
    </w:p>
    <w:p w14:paraId="461C27DD">
      <w:r>
        <w:rPr>
          <w:rFonts w:ascii="Calibri" w:hAnsi="Calibri"/>
          <w:sz w:val="22"/>
        </w:rPr>
        <w:t>GeoNexus 采用零信任安全模型作为其架构基线。默认不信任任何节点、请求或用户——每个交互都必须经过认证、授权和审计。这不是一项补充功能，而是一个基础性的架构要求，源于GeoNexus 节点将在具有异构安全状况的多样化行政域中运行的现实。</w:t>
      </w:r>
    </w:p>
    <w:p w14:paraId="34C2CE3D">
      <w:r>
        <w:rPr>
          <w:rFonts w:ascii="Calibri" w:hAnsi="Calibri"/>
          <w:sz w:val="22"/>
        </w:rPr>
        <w:t>零信任架构通过四个集成机制实现。双向 TLS（mTLS）保护所有节点到节点通信，每个 GeoNode 出示一个证书，将其身份以密码学方式绑定到可验证的信任锚点。GeoCard 级别的访问令牌实现细粒度的能力调用控制：请求者必须出示一个范围限定到被调用特定 GeoSkill 的有效令牌，令牌携带由接收节点策略引擎强制执行的空间、时间和操作约束。WebAssembly（WASM）沙箱提供了一个轻量级、语言无关的隔离边界，用于执行不受信任或社区贡献的 GeoSkills。WASM 基于能力的安全模型确保技能只能访问显式授予其的资源——文件系统路径、网络端点、环境变量——防止宿主机逃逸和横向移动。不可变的审计日志，以带有密码学链接的仅追加账本实现，记录每个请求、策略评估、执行事件和数据访问，用于事后合规验证和取证分析。</w:t>
      </w:r>
    </w:p>
    <w:p w14:paraId="2EE64582">
      <w:r>
        <w:rPr>
          <w:rFonts w:ascii="Calibri" w:hAnsi="Calibri"/>
          <w:sz w:val="22"/>
        </w:rPr>
        <w:t>安全模型设计为可渐进采用。Core 合规级别要求 mTLS 和基本令牌认证。Standard 级别增加 WASM 沙箱和 OPA 策略执行。Advanced 级别实现基于硬件的证明（TEE/机密计算）、安全关键组件的形式验证以及通过审计日志异常分析实现实时威胁检测。这种分层方法确保安全不会成为资源受限机构参与的障碍，同时为逐步实现更强的安全保障提供了清晰的路径。</w:t>
      </w:r>
    </w:p>
    <w:p w14:paraId="4EDAED23">
      <w:pPr>
        <w:pStyle w:val="4"/>
      </w:pPr>
      <w:r>
        <w:t>17. 基于 Open Policy Agent 的策略执行</w:t>
      </w:r>
    </w:p>
    <w:p w14:paraId="68056410">
      <w:r>
        <w:rPr>
          <w:rFonts w:ascii="Calibri" w:hAnsi="Calibri"/>
          <w:sz w:val="22"/>
        </w:rPr>
        <w:t>每个 GeoNode 运行一个嵌入式的 Open Policy Agent（OPA）引擎，对每个 GeoMCP 请求评估 Rego 策略，作为执行前的门禁。策略编码了节点运行管辖区的法律和行政约束——国家数据保护法、机构数据共享协议、许可合规要求和组织访问控制规则——作为机器可执行的声明式规则。</w:t>
      </w:r>
    </w:p>
    <w:p w14:paraId="6B1894E6">
      <w:r>
        <w:rPr>
          <w:rFonts w:ascii="Calibri" w:hAnsi="Calibri"/>
          <w:sz w:val="22"/>
        </w:rPr>
        <w:t>一个数据主权执行的 Rego 策略可能规定：来自节点管辖区以外 IP 地址的请求只能访问标记为 sovereignty: unrestricted 的 GeoSkills，而针对标记为 sovereignty: restricted 或 sovereignty: local-only 的技能的请求，要求请求者的身份在授权的组织单位范围内。策略评估在 GeoMCP 端点处进行，在任何数据访问或计算启动之前，确保合规是预防性的而非检测性的。策略包可以通过与其他 GeoNexus 资产相同的基于 GeoCard 的机制进行分发和验证，实现跨联邦的透明、版本控制和可审计的策略管理。</w:t>
      </w:r>
    </w:p>
    <w:p w14:paraId="143FD03B">
      <w:pPr>
        <w:pStyle w:val="4"/>
      </w:pPr>
      <w:r>
        <w:t>18. 与联合国 OICT 及全球规范的对接</w:t>
      </w:r>
    </w:p>
    <w:p w14:paraId="286276DF">
      <w:r>
        <w:rPr>
          <w:rFonts w:ascii="Calibri" w:hAnsi="Calibri"/>
          <w:sz w:val="22"/>
        </w:rPr>
        <w:t>GeoNexus 设计为满足联合国信息与通信技术办公室（OICT）对联合国租户的运营要求。这包括：基础设施即代码（Terraform）用于全自动化、可审计的部署；与联合国身份提供商的单点登录（SSO）集成；租户隔离，确保一个联合国机构或成员国的数据和计算与其他的严格分离；以及多语言界面支持，服务联合国六种官方语言。</w:t>
      </w:r>
    </w:p>
    <w:p w14:paraId="4E22E5F4">
      <w:r>
        <w:rPr>
          <w:rFonts w:ascii="Calibri" w:hAnsi="Calibri"/>
          <w:sz w:val="22"/>
        </w:rPr>
        <w:t>除联合国特定要求外，GeoNexus 的联邦化模式天然契合联合国综合地理空间信息框架（UN-IGIF）、全球统计地理空间框架（GSGF）和联合国地理空间网络《地理空间信息管理蓝图》的原则。通过在保障主权数据保管的同时促进基于标准的互操作性，GeoNexus 为国际社会已经达成共识的治理框架提供了技术实施路径——弥合了政策意图与运营现实之间的鸿沟。</w:t>
      </w:r>
    </w:p>
    <w:p w14:paraId="5DFDB048">
      <w:r>
        <w:br w:type="page"/>
      </w:r>
    </w:p>
    <w:p w14:paraId="017982ED">
      <w:pPr>
        <w:pStyle w:val="3"/>
      </w:pPr>
      <w:r>
        <w:t>第六部分 — 参考实现</w:t>
      </w:r>
    </w:p>
    <w:p w14:paraId="699A5DE0">
      <w:r>
        <w:rPr>
          <w:rFonts w:ascii="Calibri" w:hAnsi="Calibri"/>
          <w:sz w:val="22"/>
        </w:rPr>
        <w:t>为了证明 GeoNexus 标准是可实现的——而非仅仅是愿景——项目维护了一个最小但完整的参考实现。该参考栈服务于三个目的：通过可运行的代码验证协议规范；为希望部署自己 GeoNodes 的机构提供起点；以及作为合规测试套件，独立实现可以据此验证其 GeoMCP 一致性。</w:t>
      </w:r>
    </w:p>
    <w:p w14:paraId="7578BBB3">
      <w:pPr>
        <w:pStyle w:val="4"/>
      </w:pPr>
      <w:r>
        <w:t>19. GeoNexus 参考栈</w:t>
      </w:r>
    </w:p>
    <w:p w14:paraId="22B5ABD2">
      <w:r>
        <w:rPr>
          <w:rFonts w:ascii="Calibri" w:hAnsi="Calibri"/>
          <w:sz w:val="22"/>
        </w:rPr>
        <w:t>参考栈由六个组件组成，每个组件使用广泛采用的开源技术实现：</w:t>
      </w:r>
    </w:p>
    <w:p w14:paraId="6CD50A91">
      <w:r>
        <w:rPr>
          <w:rFonts w:ascii="Calibri" w:hAnsi="Calibri"/>
          <w:sz w:val="22"/>
        </w:rPr>
        <w:t>Gateway — 一个基于 FastAPI 的 GeoMCP 端点，为客户端交互提供统一入口。处理认证、请求验证、速率限制以及跨联邦注册中心的 discover 请求扇出。网关是无状态的，可在负载均衡器后进行水平扩展。</w:t>
      </w:r>
    </w:p>
    <w:p w14:paraId="042C2A0A">
      <w:r>
        <w:rPr>
          <w:rFonts w:ascii="Calibri" w:hAnsi="Calibri"/>
          <w:sz w:val="22"/>
        </w:rPr>
        <w:t>Registry — 基于 PostgreSQL 的 GeoCard 存储，配备 pgvector 扩展用于语义向量搜索。GeoCards 按结构化字段（通过 PostGIS 的空间范围、时间范围、资产类型、合规分类）和密集向量嵌入（余弦相似度用于语义发现）进行索引。注册中心实现 GeoCard CRUD API 和 GeoMCP discover/describe 方法。</w:t>
      </w:r>
    </w:p>
    <w:p w14:paraId="0F938E2F">
      <w:r>
        <w:rPr>
          <w:rFonts w:ascii="Calibri" w:hAnsi="Calibri"/>
          <w:sz w:val="22"/>
        </w:rPr>
        <w:t>GeoNode — 一个容器化的本地节点部署，由 GeoMCP 端点、本地 GeoCard 注册中心、Skill Runner（支持基于 Docker 和基于 WASM 的执行）和 OPA 策略引擎组成。可作为单个 docker-compose 栈用于开发和小规模部署，或作为 Helm chart 用于 Kubernetes 生产环境。</w:t>
      </w:r>
    </w:p>
    <w:p w14:paraId="36865B21">
      <w:r>
        <w:rPr>
          <w:rFonts w:ascii="Calibri" w:hAnsi="Calibri"/>
          <w:sz w:val="22"/>
        </w:rPr>
        <w:t>Skills — 一组精心策划的参考 GeoSkills，展示 GeoSkill 规范：Sentinel-1 洪水范围制图（SAR 阈值化和分割）、NDVI 时间序列分析（基于 Sentinel-2 的植被健康监测）、热浪风险评估（LST 异常检测与人口暴露叠加）以及土地覆盖变化检测（多时相分类与转换矩阵）。每个技能包含完整的 GeoCard、执行器、测试套件和文档。</w:t>
      </w:r>
    </w:p>
    <w:p w14:paraId="2D0E5B9F">
      <w:r>
        <w:rPr>
          <w:rFonts w:ascii="Calibri" w:hAnsi="Calibri"/>
          <w:sz w:val="22"/>
        </w:rPr>
        <w:t>Planner Agent — 基于 LangGraph 的工作流规划器，实现五阶段 GeoAgent 管道。规划器使用 LLM（默认：Qwen3-32B 或同等级别的开放权重模型）进行意图解析和工作流生成，采用严格的结构化输出模式确保确定性、有效的 DAG。规划决策记录到审计追踪中以确保透明度。</w:t>
      </w:r>
    </w:p>
    <w:p w14:paraId="0F0FF440">
      <w:r>
        <w:rPr>
          <w:rFonts w:ascii="Calibri" w:hAnsi="Calibri"/>
          <w:sz w:val="22"/>
        </w:rPr>
        <w:t>ChatMap UI — 基于 React + MapLibre GL JS 的前端界面，提供与 GeoNexus 交互的自然语言界面。用户输入地理空间问题，观察代理的规划过程，在交互式地图上审查中间结果，并下载最终输出。界面同时支持对话式交互和面向高级用户的结构化查询构建。</w:t>
      </w:r>
    </w:p>
    <w:p w14:paraId="2EFBE69A">
      <w:pPr>
        <w:pStyle w:val="4"/>
      </w:pPr>
      <w:r>
        <w:t>20. MVP 演示：洪水风险分析</w:t>
      </w:r>
    </w:p>
    <w:p w14:paraId="56DCCA60">
      <w:r>
        <w:rPr>
          <w:rFonts w:ascii="Calibri" w:hAnsi="Calibri"/>
          <w:sz w:val="22"/>
        </w:rPr>
        <w:t>GeoNexus 参考栈的典型端到端演示是一个洪水风险分析工作流，验证了架构的每一层：</w:t>
      </w:r>
    </w:p>
    <w:p w14:paraId="683DCD09">
      <w:r>
        <w:rPr>
          <w:rFonts w:ascii="Calibri" w:hAnsi="Calibri"/>
          <w:sz w:val="22"/>
        </w:rPr>
        <w:t>用户在 ChatMap 界面中输入："Analyze flood risk in the Limpopo River Basin following the heavy rainfall of January 2025."（分析2025年1月强降雨后林波波河流域的洪水风险）。GeoAgent 的意图解析器提取结构化目标：现象 = flood extent；位置 = Limpopo Basin（空间范围：[26.0, -25.5, 34.0, -22.0], CRS: EPSG:4326）；时间 = 2025-01-15 至 2025-02-15；输出 = 洪水范围图、受影响人口估计、摘要报告。</w:t>
      </w:r>
    </w:p>
    <w:p w14:paraId="77E7E0A1">
      <w:r>
        <w:rPr>
          <w:rFonts w:ascii="Calibri" w:hAnsi="Calibri"/>
          <w:sz w:val="22"/>
        </w:rPr>
        <w:t>发现阶段搜索 GeoCard 注册中心并返回：指定时空窗口的 Sentinel-1 GRD 数据（GeoCard 含10米分辨率、C波段 SAR、云穿透能力——在持续云覆盖期间进行洪水制图的关键要求）、30米 SRTM 数字高程模型用于地形背景、匹配 SAR 水体范围要求的洪水制图 GeoSkill、人口密度图层（WorldPop 2024, 100米分辨率）用于暴露评估，以及用于计算洪水范围内人口的分区统计 GeoSkill。</w:t>
      </w:r>
    </w:p>
    <w:p w14:paraId="39EB7C44">
      <w:r>
        <w:rPr>
          <w:rFonts w:ascii="Calibri" w:hAnsi="Calibri"/>
          <w:sz w:val="22"/>
        </w:rPr>
        <w:t>GeoAgent 的规划器生成一个四步 DAG：（1）Sentinel-1 预处理（辐射定标、地形校正、散斑滤波）→（2）水体范围制图（自适应阈值化 + 精细化分割，生成二值洪水掩膜）→ （3）人口暴露分区统计（将洪水掩膜与人口图层相交，计算总受影响人口和人口统计细分）→（4）报告生成（地图渲染、统计摘要、关键发现叙述）。规划器对照 GeoTKG 验证此 DAG，确认 SAR 适用于季风季节条件，以及空间分辨率是兼容的（10米洪水掩膜可以通过适当缩放与100米人口数据进行有意义的相交）。</w:t>
      </w:r>
    </w:p>
    <w:p w14:paraId="2F32DD76">
      <w:r>
        <w:rPr>
          <w:rFonts w:ascii="Calibri" w:hAnsi="Calibri"/>
          <w:sz w:val="22"/>
        </w:rPr>
        <w:t>执行调度如下：预处理和洪水制图技能在由托管 Sentinel-1 档案的区域气候服务中心运营的 GeoNode 上执行；人口分区统计技能在国家统计局托管人口数据的 GeoNode 上执行（保护人口微观数据的主权）。仅洪水掩膜——一个不含隐私影响的衍生成果——在节点之间传输。GeoAgent 综合结果并在 ChatMap UI 上呈现：交互式洪水范围图叠加人口暴露热力图、显示受影响居民点和估计流离失所人口的统计仪表板，以及适用于人道主义响应协调的结构化报告。</w:t>
      </w:r>
    </w:p>
    <w:p w14:paraId="4A68558C">
      <w:r>
        <w:rPr>
          <w:rFonts w:ascii="Calibri" w:hAnsi="Calibri"/>
          <w:sz w:val="22"/>
        </w:rPr>
        <w:t>这一单一场景验证了整个 GeoMCP/GeoCard/GeoSkill/GeoNode/GeoAgent 栈，并证明了联邦化、主权化、AI 驱动的地理空间分析在今天是技术上可实现的。该工作流的参考实现以开源代码形式提供，完全可复现，并作为干旱监测、森林砍伐追踪、海岸侵蚀评估和城市热岛分析等特定领域工作流的模板。</w:t>
      </w:r>
    </w:p>
    <w:p w14:paraId="0CE853D5">
      <w:r>
        <w:br w:type="page"/>
      </w:r>
    </w:p>
    <w:p w14:paraId="5E72C143">
      <w:pPr>
        <w:pStyle w:val="3"/>
      </w:pPr>
      <w:r>
        <w:t>第七部分 — 生态系统与开放协作</w:t>
      </w:r>
    </w:p>
    <w:p w14:paraId="29717CFB">
      <w:pPr>
        <w:pStyle w:val="4"/>
      </w:pPr>
      <w:r>
        <w:t>21. 开发者体验与 SDK</w:t>
      </w:r>
    </w:p>
    <w:p w14:paraId="2D87128B">
      <w:r>
        <w:rPr>
          <w:rFonts w:ascii="Calibri" w:hAnsi="Calibri"/>
          <w:sz w:val="22"/>
        </w:rPr>
        <w:t>GeoNexus 的长期成功不仅取决于协议质量，还取决于开发者体验。地理空间科学家、数据工程师和 AI 研究人员必须能够以最小的摩擦创建 GeoSkills、发布 GeoCards 和部署 GeoNodes。GeoNexus 配备了全面的开发者工具链：</w:t>
      </w:r>
    </w:p>
    <w:p w14:paraId="0F14792D">
      <w:r>
        <w:rPr>
          <w:rFonts w:ascii="Calibri" w:hAnsi="Calibri"/>
          <w:sz w:val="22"/>
        </w:rPr>
        <w:t>Python 和 Node.js SDK 为所有 GeoMCP 方法、GeoCard 模式验证和 GeoSkill 脚手架提供了惯用的客户端库。开发者可以通过一条 CLI 命令（geonode skill init flood-mapping）创建新的 GeoSkill，该命令生成标准目录结构、一个骨架执行器和一个预填充了提示的 GeoCard 模板，供开发者完成。本地沙箱模式（geonode dev）使用 Docker Compose 在开发者机器上启动完整的 GeoNode 栈，支持在发布前进行离线开发和测试。预构建的模板覆盖了常见的地理空间分析模式——分类、变化检测、分区统计、时间序列分析、空间插值——减少了将新分析能力产品化所需的样板代码。</w:t>
      </w:r>
    </w:p>
    <w:p w14:paraId="6958EAD5">
      <w:r>
        <w:rPr>
          <w:rFonts w:ascii="Calibri" w:hAnsi="Calibri"/>
          <w:sz w:val="22"/>
        </w:rPr>
        <w:t>SDK 包含构建时的 GeoCard 模式验证，确保发布的 GeoCards 符合规范且语义完整。CI/CD 集成模板使得 GeoSkills 的自动化测试和发布到 GeoNode 注册中心成为标准软件开发工作流的一部分。这一"GeoOps"管道——类比于地理空间能力的 DevOps——确保 GeoNexus 生态系统通过自动化而非人工策展来扩展。</w:t>
      </w:r>
    </w:p>
    <w:p w14:paraId="1FE56E71">
      <w:pPr>
        <w:pStyle w:val="4"/>
      </w:pPr>
      <w:r>
        <w:t>22. 市场与社区策略</w:t>
      </w:r>
    </w:p>
    <w:p w14:paraId="4BC102C1">
      <w:r>
        <w:rPr>
          <w:rFonts w:ascii="Calibri" w:hAnsi="Calibri"/>
          <w:sz w:val="22"/>
        </w:rPr>
        <w:t>一个公开的 GeoCard 注册中心——概念上类比于机器学习模型的 HuggingFace Hub 或容器镜像的 Docker Hub——将作为 GeoNexus 生态系统的中心发现点。任何人都可以发布描述其数据集、技能、模型和服务的 GeoCards。社区成员可以发现、评分、审查和衍生能力。使用量指标和 GeoTrust 评分提供品质信号。注册中心本身是联邦化的：机构可以运营自己的注册中心，同时选择性同步到公共中心，保留对外部可见内容的控制。</w:t>
      </w:r>
    </w:p>
    <w:p w14:paraId="3B83300C">
      <w:r>
        <w:rPr>
          <w:rFonts w:ascii="Calibri" w:hAnsi="Calibri"/>
          <w:sz w:val="22"/>
        </w:rPr>
        <w:t>市场从根本上降低了发展中国家和较小机构的准入门槛。一个农业部门无需构建和维护复杂的地理空间 AI 基础设施，只需发现一个已有的作物健康监测 GeoSkill，将其指向本国 GeoNode 上的国家卫星数据档案，就能立即受益于其他地方开发和验证的尖端分析能力。这种"能力导入"模式——类比于导入软件库而非从零编写——是 GeoNexus 应对 GeoAI 鸿沟的机制。</w:t>
      </w:r>
    </w:p>
    <w:p w14:paraId="4486034F">
      <w:pPr>
        <w:pStyle w:val="4"/>
      </w:pPr>
      <w:r>
        <w:t>23. 标准化路线图</w:t>
      </w:r>
    </w:p>
    <w:p w14:paraId="46E9ADD8">
      <w:r>
        <w:rPr>
          <w:rFonts w:ascii="Calibri" w:hAnsi="Calibri"/>
          <w:sz w:val="22"/>
        </w:rPr>
        <w:t>GeoNexus 协议将经过分阶段的标准化路径推进，旨在平衡快速迭代与最终的形式治理：</w:t>
      </w:r>
    </w:p>
    <w:p w14:paraId="386C8BF7">
      <w:r>
        <w:rPr>
          <w:rFonts w:ascii="Calibri" w:hAnsi="Calibri"/>
          <w:sz w:val="22"/>
        </w:rPr>
        <w:t>第一阶段（2026年）：GeoMCP v1.0 和 GeoCard 规范 v1.0 定稿。参考栈稳定并通过完整的合规测试套件。在至少三个独立的 GeoNode 部署之间演示多节点联邦。发布初始 SDK 和开发者工具。建立社区贡献流程。</w:t>
      </w:r>
    </w:p>
    <w:p w14:paraId="76D88C16">
      <w:r>
        <w:rPr>
          <w:rFonts w:ascii="Calibri" w:hAnsi="Calibri"/>
          <w:sz w:val="22"/>
        </w:rPr>
        <w:t>第二阶段（2027年）：通过 Domain Working Group 或 Standards Working Group 与 OGC 标准进行正式对接，确保 GeoMCP 与现有 OGC Web 服务标准（WPS、WFS、OGC API – Processes）兼容且互补。GeoCard 规范与 ISO 19115 元数据标准和 STAC（SpatioTemporal Asset Catalog）社区规范对齐。建立 GeoTrust 治理框架，实行多利益相关方监督。</w:t>
      </w:r>
    </w:p>
    <w:p w14:paraId="31C47D00">
      <w:r>
        <w:rPr>
          <w:rFonts w:ascii="Calibri" w:hAnsi="Calibri"/>
          <w:sz w:val="22"/>
        </w:rPr>
        <w:t>第三阶段（2028年）：与联合国机构（UNOSAT、WFP、FAO、UNEP）及伙伴国家在至少三大洲进行多节点联邦试点。支持灾害响应、SDG 监测和气候适应性规划中的真实业务工作流的生产部署。在全球规模上验证性能和可扩展性。</w:t>
      </w:r>
    </w:p>
    <w:p w14:paraId="3C46D6BB">
      <w:r>
        <w:rPr>
          <w:rFonts w:ascii="Calibri" w:hAnsi="Calibri"/>
          <w:sz w:val="22"/>
        </w:rPr>
        <w:t>第四阶段（2029年及以后）：建立 GeoNexus 开放治理机构——可能在 UN-GGIM 或专门基金会的支持下——将协议作为全球公共产品进行管理。正式提交至 ISO/TC 211 进行国际标准化。治理机构确保 GeoNexus 保持供应商中立、社区驱动，并与激励其创建的公共产品使命保持一致。</w:t>
      </w:r>
    </w:p>
    <w:p w14:paraId="65B65F47">
      <w:r>
        <w:br w:type="page"/>
      </w:r>
    </w:p>
    <w:p w14:paraId="43A96E84">
      <w:pPr>
        <w:pStyle w:val="3"/>
      </w:pPr>
      <w:r>
        <w:t>第八部分 — 未来方向</w:t>
      </w:r>
    </w:p>
    <w:p w14:paraId="39AE75F4">
      <w:pPr>
        <w:pStyle w:val="4"/>
      </w:pPr>
      <w:r>
        <w:t>24. 多智能体 GeoAI 与自主发现</w:t>
      </w:r>
    </w:p>
    <w:p w14:paraId="4CB98446">
      <w:r>
        <w:rPr>
          <w:rFonts w:ascii="Calibri" w:hAnsi="Calibri"/>
          <w:sz w:val="22"/>
        </w:rPr>
        <w:t>当前的 GeoAgent 架构采用单一编排代理。随着生态系统的成熟，它将演进为多智能体协作：气候分析、水文建模、农业评估、基础设施脆弱性和社会脆弱性的专业化代理——每个都带有嵌入其规划逻辑的深层领域知识——通过 GeoMCP 协调执行复杂的跨领域分析。一个"评估西非沿海城市气候适应优先事项"的请求将被协调代理解构为由专业化代理处理的子任务，每个代理贡献领域优化的工作流，结果被综合为集成评估。</w:t>
      </w:r>
    </w:p>
    <w:p w14:paraId="1BCD82A9">
      <w:r>
        <w:rPr>
          <w:rFonts w:ascii="Calibri" w:hAnsi="Calibri"/>
          <w:sz w:val="22"/>
        </w:rPr>
        <w:t>除了响应人类查询，多智能体 GeoNexus 系统还将实现自主科学发现：代理持续监测全球数据流，检测异常，形成关于因果机制的假设，设计实验（目标化的数据收集和分析），并以验证过的发现更新知识图谱。这将 GeoNexus 从查询-响应系统转变为一个持续、自我改进的地球系统科学协作体——随着地球观测数据的体量和速度超出人类分析能力，这一能力正变得日益重要。</w:t>
      </w:r>
    </w:p>
    <w:p w14:paraId="668E50F9">
      <w:pPr>
        <w:pStyle w:val="4"/>
      </w:pPr>
      <w:r>
        <w:t>25. 边缘 GeoAI 与实时联邦</w:t>
      </w:r>
    </w:p>
    <w:p w14:paraId="6C4B737F">
      <w:r>
        <w:rPr>
          <w:rFonts w:ascii="Calibri" w:hAnsi="Calibri"/>
          <w:sz w:val="22"/>
        </w:rPr>
        <w:t>联邦化的下一个前沿将 GeoNexus 扩展到边缘：在卫星、无人机（UAV）、IoT 传感器网络和野外部署的边缘计算设备上直接运行 GeoSkills。星上处理——在卫星的飞行计算机上运行轻量级 GeoSkill 来检测洪水或活跃火灾，仅传输警报多边形而非完整场景——将延迟从数小时（下传→地面站→云处理）大幅缩短到数分钟（星上检测→直接警报广播）。这对于野火响应、山洪预警和海域态势感知等时间关键型应用尤其具有变革性。</w:t>
      </w:r>
    </w:p>
    <w:p w14:paraId="1AECB778">
      <w:r>
        <w:rPr>
          <w:rFonts w:ascii="Calibri" w:hAnsi="Calibri"/>
          <w:sz w:val="22"/>
        </w:rPr>
        <w:t>GeoNode 规范中基于 WASM 的运行时从一开始就设计为可部署在资源受限的边缘硬件上。一个最小化 GeoNode（Core 合规级别）可以在512MB RAM 和 ARM 处理器的设备上运行，执行基于 WASM 的 GeoSkills，在传输前进行推理、异常检测或数据压缩。随着卫星星座的扩展（预计到2030年超过5万颗卫星）和 IoT 传感器密度的增加，边缘优先的联邦化对于管理数据洪流和以相关速度提取可行情报变得至关重要。</w:t>
      </w:r>
    </w:p>
    <w:p w14:paraId="0C66CE12">
      <w:pPr>
        <w:pStyle w:val="4"/>
      </w:pPr>
      <w:r>
        <w:t>26. 迈向地理空间公共产品的行星操作系统</w:t>
      </w:r>
    </w:p>
    <w:p w14:paraId="708265D4">
      <w:r>
        <w:rPr>
          <w:rFonts w:ascii="Calibri" w:hAnsi="Calibri"/>
          <w:sz w:val="22"/>
        </w:rPr>
        <w:t>GeoNexus 的终极远景是一个开放、自组织的地理空间智能服务网络，服务于地球治理——持续监测地球系统，对异常发出警报，对干预方案进行建模，并为全人类提供决策支持。这一愿景借鉴了欧盟 Destination Earth 倡议及全球类似项目设想的"地球数字孪生"概念，但有一个关键的差异：GeoNexus 不是由单一机构维护的单一中心化模拟，而是实现了一个联邦化的数字孪生，其中每个参与组织贡献其权威数据和模型，集成的全局图景通过协议治理的互操作而非中心化汇聚而呈现。</w:t>
      </w:r>
    </w:p>
    <w:p w14:paraId="71179391">
      <w:r>
        <w:rPr>
          <w:rFonts w:ascii="Calibri" w:hAnsi="Calibri"/>
          <w:sz w:val="22"/>
        </w:rPr>
        <w:t>这是一个雄心勃勃的愿景。但替代方案——一个地理空间 AI 能力集中在少数专有平台手中，仅有支付能力和政治立场符合者才能访问的世界——从根本上违背了联合国原则、可持续发展目标以及地理空间信息作为公共产品的理念。GeoNexus 是对一条不同轨迹的投资：一条地理空间智能协议像万维网协议一样开放、普适和民主化的道路。</w:t>
      </w:r>
    </w:p>
    <w:p w14:paraId="51EEDE74">
      <w:r>
        <w:br w:type="page"/>
      </w:r>
    </w:p>
    <w:p w14:paraId="76DCBDA9">
      <w:pPr>
        <w:pStyle w:val="3"/>
      </w:pPr>
      <w:r>
        <w:t>结论</w:t>
      </w:r>
    </w:p>
    <w:p w14:paraId="60A9719D">
      <w:r>
        <w:rPr>
          <w:rFonts w:ascii="Calibri" w:hAnsi="Calibri"/>
          <w:sz w:val="22"/>
        </w:rPr>
        <w:t>GeoNexus 不仅仅是一个平台。它是一个面向全球 GeoAI 的拟议开放标准和联邦化基础设施。通过将协议与实现分离、能力语义与数据存储分离、AI 编排与单体 GIS 引擎分离，它开启了一种全新的协作模式——在尊重主权的同时释放集体智慧。</w:t>
      </w:r>
    </w:p>
    <w:p w14:paraId="4507D4A1">
      <w:r>
        <w:rPr>
          <w:rFonts w:ascii="Calibri" w:hAnsi="Calibri"/>
          <w:sz w:val="22"/>
        </w:rPr>
        <w:t>该架构立足于三个先验技术支柱，每个都针对联邦化地理空间领域进行了扩展。CAFE 分布式计算范式（Xu, Li, Bai et al., 2018）确立了"将计算带到数据"在技术上是可行的，且在操作上优于中心化数据复制——GeoNexus 将其从单组织的气候科学推广到多组织的地理空间智能。AutoGIS 合约驱动代理架构（Chen, Bai &amp; Li et al., 2025）证明了将地理空间分析构建为合约验证问题能显著提高 AI 可靠性——GeoNexus 将其从单节点扩展到联邦化多节点环境。Model Context Protocol（Anthropic, 2025）证明了最小化、开放的协议能够大规模连接 AI 系统与外部工具——GeoNexus 将这一模式适配到地理空间数据的独特需求：空间坐标系统、时间范围、多波段栅格语义和主权约束。</w:t>
      </w:r>
    </w:p>
    <w:p w14:paraId="012BA8A0">
      <w:r>
        <w:rPr>
          <w:rFonts w:ascii="Calibri" w:hAnsi="Calibri"/>
          <w:sz w:val="22"/>
        </w:rPr>
        <w:t>GeoNexus 被有意识地设计为对全球公共领域的贡献。协议规范以开放许可发布。参考实现是开源的。治理模式专为多利益相关方共同管理而设计。其使命——确保 AI 驱动的地理空间智能变革服务所有国家，而不仅仅是技术先进的少数——与联合国的创始原则和《2030年可持续发展议程》保持一致。</w:t>
      </w:r>
    </w:p>
    <w:p w14:paraId="180BCB2E">
      <w:r>
        <w:rPr>
          <w:rFonts w:ascii="Calibri" w:hAnsi="Calibri"/>
          <w:sz w:val="22"/>
        </w:rPr>
        <w:t>我们邀请国际社会——各国政府、联合国机构、研究机构、开源开发者、非政府组织和私营部门——共同参与 GeoNexus 标准的完善、采用和治理。携手共建一个可互操作、安全、主权保护和智能化的下一代地理空间公共产品的架构——一个为未来数十年的和平、可持续发展和人类尊严服务的基础设施。</w:t>
      </w:r>
    </w:p>
    <w:p w14:paraId="14D0DDA1">
      <w:r>
        <w:br w:type="page"/>
      </w:r>
    </w:p>
    <w:p w14:paraId="3A85D423">
      <w:pPr>
        <w:pStyle w:val="3"/>
      </w:pPr>
      <w:r>
        <w:t>附录</w:t>
      </w:r>
    </w:p>
    <w:p w14:paraId="734C2EAE">
      <w:r>
        <w:rPr>
          <w:rFonts w:ascii="Calibri" w:hAnsi="Calibri"/>
          <w:sz w:val="22"/>
        </w:rPr>
        <w:t>以下附录作为活文档维护，与 GeoNexus 协议规范同步版本化。完整的当前版本可在 GeoNexus 文档仓库中获取。</w:t>
      </w:r>
    </w:p>
    <w:p w14:paraId="0A80E20A">
      <w:pPr>
        <w:pStyle w:val="4"/>
      </w:pPr>
      <w:r>
        <w:rPr>
          <w:rFonts w:hint="eastAsia"/>
          <w:lang w:val="en-US" w:eastAsia="zh-CN"/>
        </w:rPr>
        <w:t xml:space="preserve">1 </w:t>
      </w:r>
      <w:r>
        <w:t>GeoMCP 方法定义</w:t>
      </w:r>
    </w:p>
    <w:p w14:paraId="25B50E06">
      <w:r>
        <w:rPr>
          <w:rFonts w:ascii="Calibri" w:hAnsi="Calibri"/>
          <w:sz w:val="22"/>
        </w:rPr>
        <w:t>所有 GeoMCP 方法的完整方法签名、请求/响应模式（JSON Schema）、错误代码和传输绑定规范（gRPC protobuf 定义和 RESTful OpenAPI 规范）：discover、describe、execute、status，以及注册中心管理和节点健康检查的辅助方法。</w:t>
      </w:r>
    </w:p>
    <w:p w14:paraId="4AE09C7D">
      <w:pPr>
        <w:pStyle w:val="4"/>
      </w:pPr>
      <w:r>
        <w:rPr>
          <w:rFonts w:hint="eastAsia"/>
          <w:lang w:val="en-US" w:eastAsia="zh-CN"/>
        </w:rPr>
        <w:t xml:space="preserve">2 </w:t>
      </w:r>
      <w:r>
        <w:t>GeoCard 模式参考</w:t>
      </w:r>
    </w:p>
    <w:p w14:paraId="59B9A6C3">
      <w:r>
        <w:rPr>
          <w:rFonts w:ascii="Calibri" w:hAnsi="Calibri"/>
          <w:sz w:val="22"/>
        </w:rPr>
        <w:t>GeoCard v1.0 的完整 JSON Schema 和 YAML 规范，包括所有必填和可选字段、资产类型和合规分类的控制词汇表、空间和时间表达格式，以及面向特定领域元数据的扩展机制。</w:t>
      </w:r>
    </w:p>
    <w:p w14:paraId="7409121E">
      <w:pPr>
        <w:pStyle w:val="4"/>
      </w:pPr>
      <w:r>
        <w:rPr>
          <w:rFonts w:hint="eastAsia"/>
          <w:lang w:val="en-US" w:eastAsia="zh-CN"/>
        </w:rPr>
        <w:t xml:space="preserve">3 </w:t>
      </w:r>
      <w:r>
        <w:t>GeoSkill 生命周期规范</w:t>
      </w:r>
    </w:p>
    <w:p w14:paraId="4AE443F4">
      <w:r>
        <w:rPr>
          <w:rFonts w:ascii="Calibri" w:hAnsi="Calibri"/>
          <w:sz w:val="22"/>
        </w:rPr>
        <w:t>GeoSkill 生命周期的详细规范：创建（脚手架和开发）、验证（模式一致性和测试执行）、发布（注册中心提交和版本化）、发现（GeoCard 索引和检索）、执行（运行时需求和沙箱化）、监控（遥测和日志）以及弃用（版本日落和迁移指导）。</w:t>
      </w:r>
    </w:p>
    <w:p w14:paraId="6B21E48B">
      <w:pPr>
        <w:pStyle w:val="4"/>
      </w:pPr>
      <w:r>
        <w:rPr>
          <w:rFonts w:hint="eastAsia"/>
          <w:lang w:val="en-US" w:eastAsia="zh-CN"/>
        </w:rPr>
        <w:t xml:space="preserve">4 </w:t>
      </w:r>
      <w:r>
        <w:t>参考 API 定义</w:t>
      </w:r>
    </w:p>
    <w:p w14:paraId="62BFC494">
      <w:r>
        <w:rPr>
          <w:rFonts w:ascii="Calibri" w:hAnsi="Calibri"/>
          <w:sz w:val="22"/>
        </w:rPr>
        <w:t>Reference Gateway、GeoNode GeoMCP 端点和 GeoCard Registry API 的 OpenAPI 3.1 规范。包括认证流程、速率限制头以及常见操作的请求/响应对示例。</w:t>
      </w:r>
    </w:p>
    <w:p w14:paraId="132C5D92">
      <w:pPr>
        <w:pStyle w:val="4"/>
      </w:pPr>
      <w:r>
        <w:rPr>
          <w:rFonts w:hint="eastAsia"/>
          <w:lang w:val="en-US" w:eastAsia="zh-CN"/>
        </w:rPr>
        <w:t xml:space="preserve">5 </w:t>
      </w:r>
      <w:r>
        <w:t>安全考虑与威胁模型</w:t>
      </w:r>
    </w:p>
    <w:p w14:paraId="6CCCF27F">
      <w:r>
        <w:rPr>
          <w:rFonts w:ascii="Calibri" w:hAnsi="Calibri"/>
          <w:sz w:val="22"/>
        </w:rPr>
        <w:t>全面的威胁模型覆盖：对抗性 GeoCards（伪造或恶意元数据）、GeoSkill 供应链攻击、通过计算结果中的侧信道进行数据泄露、通过资源耗尽的拒绝服务攻击、通过聚合输出的隐私泄露，以及针对 GeoTrust 声誉评分的 Sybil 攻击。每个威胁的缓解策略和残余风险均已记录。</w:t>
      </w:r>
    </w:p>
    <w:p w14:paraId="638C5009">
      <w:pPr>
        <w:pStyle w:val="4"/>
      </w:pPr>
      <w:r>
        <w:rPr>
          <w:rFonts w:hint="eastAsia"/>
          <w:lang w:val="en-US" w:eastAsia="zh-CN"/>
        </w:rPr>
        <w:t xml:space="preserve">6 </w:t>
      </w:r>
      <w:r>
        <w:t>标准对齐矩阵</w:t>
      </w:r>
    </w:p>
    <w:p w14:paraId="02F4A1EB">
      <w:r>
        <w:rPr>
          <w:rFonts w:ascii="Calibri" w:hAnsi="Calibri"/>
          <w:sz w:val="22"/>
        </w:rPr>
        <w:t>GeoNexus 概念与现有国际标准的系统映射：OGC（WMS、WFS、WCS、WPS、OGC API 系列）、ISO/TC 211（19115 元数据、19119 服务、19142 Web 要素服务）、STAC（SpatioTemporal Asset Catalog）、云原生地理空间格式（COG、Zarr、GeoParquet），以及联合国框架（IGIF、GSGF、UN Geospatial Network Blueprint）。该矩阵作为标准化路线图第二阶段正式标准对齐的基础。</w:t>
      </w:r>
    </w:p>
    <w:p w14:paraId="36453F29">
      <w:r>
        <w:br w:type="page"/>
      </w:r>
    </w:p>
    <w:p w14:paraId="34C19336">
      <w:pPr>
        <w:pStyle w:val="3"/>
      </w:pPr>
      <w:r>
        <w:t>参考文献</w:t>
      </w:r>
    </w:p>
    <w:p w14:paraId="7AB2C25F">
      <w:pPr>
        <w:ind w:left="720" w:hanging="720"/>
      </w:pPr>
      <w:r>
        <w:rPr>
          <w:rFonts w:ascii="Calibri" w:hAnsi="Calibri"/>
          <w:sz w:val="18"/>
        </w:rPr>
        <w:t>Anthropic. (2025). Model Context Protocol: An open standard for connecting AI tools to data sources. Anthropic News.</w:t>
      </w:r>
    </w:p>
    <w:p w14:paraId="703A94E2">
      <w:pPr>
        <w:ind w:left="720" w:hanging="720"/>
      </w:pPr>
      <w:r>
        <w:rPr>
          <w:rFonts w:ascii="Calibri" w:hAnsi="Calibri"/>
          <w:sz w:val="18"/>
        </w:rPr>
        <w:t>Amiri, M., Zdun, U., &amp; van Hoorn, A. (2022). Reliability and performance modeling of dynamic routing architecture patterns in cloud and service-based settings. Journal of Systems and Software.</w:t>
      </w:r>
    </w:p>
    <w:p w14:paraId="64A08D6E">
      <w:pPr>
        <w:ind w:left="720" w:hanging="720"/>
      </w:pPr>
      <w:r>
        <w:rPr>
          <w:rFonts w:ascii="Calibri" w:hAnsi="Calibri"/>
          <w:sz w:val="18"/>
        </w:rPr>
        <w:t>Bayerlein, R., et al. (2023). Accelerating Monte Carlo-based scatter correction in PET via serverless cloud computing. Medical Physics.</w:t>
      </w:r>
    </w:p>
    <w:p w14:paraId="7E282A35">
      <w:pPr>
        <w:ind w:left="720" w:hanging="720"/>
      </w:pPr>
      <w:r>
        <w:rPr>
          <w:rFonts w:ascii="Calibri" w:hAnsi="Calibri"/>
          <w:sz w:val="18"/>
        </w:rPr>
        <w:t>Cai, L. (2025). GeoFM: how will geo-foundation models reshape spatial data science and GeoAI? International Journal of Geographical Information Science.</w:t>
      </w:r>
    </w:p>
    <w:p w14:paraId="42878AD9">
      <w:pPr>
        <w:ind w:left="720" w:hanging="720"/>
      </w:pPr>
      <w:r>
        <w:rPr>
          <w:rFonts w:ascii="Calibri" w:hAnsi="Calibri"/>
          <w:sz w:val="18"/>
        </w:rPr>
        <w:t>CARTO. (2025). What is Agentic GIS and CARTO MCP Server. CARTO Blog.</w:t>
      </w:r>
    </w:p>
    <w:p w14:paraId="383ABF6B">
      <w:pPr>
        <w:ind w:left="720" w:hanging="720"/>
      </w:pPr>
      <w:r>
        <w:rPr>
          <w:rFonts w:ascii="Calibri" w:hAnsi="Calibri"/>
          <w:sz w:val="18"/>
        </w:rPr>
        <w:t>Chen, J., Bai, Y., Li, S., et al. (2025). AutoGIS: Contract-Driven Autonomous GIS Agents. arXiv preprint.</w:t>
      </w:r>
    </w:p>
    <w:p w14:paraId="6E0196F1">
      <w:pPr>
        <w:ind w:left="720" w:hanging="720"/>
      </w:pPr>
      <w:r>
        <w:rPr>
          <w:rFonts w:ascii="Calibri" w:hAnsi="Calibri"/>
          <w:sz w:val="18"/>
        </w:rPr>
        <w:t>Cloud Native Computing Foundation (CNCF). (2025). State of Cloud Native Development Report.</w:t>
      </w:r>
    </w:p>
    <w:p w14:paraId="4BDEE1D3">
      <w:pPr>
        <w:ind w:left="720" w:hanging="720"/>
      </w:pPr>
      <w:r>
        <w:rPr>
          <w:rFonts w:ascii="Calibri" w:hAnsi="Calibri"/>
          <w:sz w:val="18"/>
        </w:rPr>
        <w:t>De Sabbata, S., Mizzaro, S., &amp; Roitero, K. (2025). Geospatial Mechanistic Interpretability of Large Language Models. arXiv preprint arXiv:2505.03368.</w:t>
      </w:r>
    </w:p>
    <w:p w14:paraId="52E461E4">
      <w:pPr>
        <w:ind w:left="720" w:hanging="720"/>
      </w:pPr>
      <w:r>
        <w:rPr>
          <w:rFonts w:ascii="Calibri" w:hAnsi="Calibri"/>
          <w:sz w:val="18"/>
        </w:rPr>
        <w:t>European Commission. (2024). Destination Earth: Digital Twins of the Earth System. Directorate-General for Communications Networks, Content and Technology.</w:t>
      </w:r>
    </w:p>
    <w:p w14:paraId="4CC833C4">
      <w:pPr>
        <w:ind w:left="720" w:hanging="720"/>
      </w:pPr>
      <w:r>
        <w:rPr>
          <w:rFonts w:ascii="Calibri" w:hAnsi="Calibri"/>
          <w:sz w:val="18"/>
        </w:rPr>
        <w:t>Geonovum. (2025). Minimal Interoperability Mechanisms (MIMs) — Places Specification. Geonovum Standards.</w:t>
      </w:r>
    </w:p>
    <w:p w14:paraId="0CBA9428">
      <w:pPr>
        <w:ind w:left="720" w:hanging="720"/>
      </w:pPr>
      <w:r>
        <w:rPr>
          <w:rFonts w:ascii="Calibri" w:hAnsi="Calibri"/>
          <w:sz w:val="18"/>
        </w:rPr>
        <w:t>Guo, X., Lao, J., Dang, B., et al. (2024). SkySense: A Multi-Modal Remote Sensing Foundation Model Towards Universal Interpretation for Earth Observation Imagery. CVPR.</w:t>
      </w:r>
    </w:p>
    <w:p w14:paraId="6E8793A3">
      <w:pPr>
        <w:ind w:left="720" w:hanging="720"/>
      </w:pPr>
      <w:r>
        <w:rPr>
          <w:rFonts w:ascii="Calibri" w:hAnsi="Calibri"/>
          <w:sz w:val="18"/>
        </w:rPr>
        <w:t>Hinchcliffe, D., &amp; Patience, N. (2025). Rise of Agentic AI: Leading Solutions Transforming Enterprise Workflows in 2025. Futurum Research.</w:t>
      </w:r>
    </w:p>
    <w:p w14:paraId="7FEEF704">
      <w:pPr>
        <w:ind w:left="720" w:hanging="720"/>
      </w:pPr>
      <w:r>
        <w:rPr>
          <w:rFonts w:ascii="Calibri" w:hAnsi="Calibri"/>
          <w:sz w:val="18"/>
        </w:rPr>
        <w:t>Hou, Y., et al. (2024). Design and application of a semantic-driven geospatial modeling knowledge graph based on LLMs. International Journal of Digital Earth.</w:t>
      </w:r>
    </w:p>
    <w:p w14:paraId="45F2180D">
      <w:pPr>
        <w:ind w:left="720" w:hanging="720"/>
      </w:pPr>
      <w:r>
        <w:rPr>
          <w:rFonts w:ascii="Calibri" w:hAnsi="Calibri"/>
          <w:sz w:val="18"/>
        </w:rPr>
        <w:t>Lin, Q., Hu, R., Li, H., et al. (2026). GeoJSON agents: A Multi-Agent Large Language Model Framework for Automated Geospatial Analysis. International Journal of Digital Earth.</w:t>
      </w:r>
    </w:p>
    <w:p w14:paraId="25114E84">
      <w:pPr>
        <w:ind w:left="720" w:hanging="720"/>
      </w:pPr>
      <w:r>
        <w:rPr>
          <w:rFonts w:ascii="Calibri" w:hAnsi="Calibri"/>
          <w:sz w:val="18"/>
        </w:rPr>
        <w:t>Mansourian, A., &amp; Oucheikh, R. (2024). Chatgeoai: Enabling Geospatial Analysis for Public Through Natural Language, With Large Language Models. ISPRS International Journal of Geo-Information.</w:t>
      </w:r>
    </w:p>
    <w:p w14:paraId="2535BDDA">
      <w:pPr>
        <w:ind w:left="720" w:hanging="720"/>
      </w:pPr>
      <w:r>
        <w:rPr>
          <w:rFonts w:ascii="Calibri" w:hAnsi="Calibri"/>
          <w:sz w:val="18"/>
        </w:rPr>
        <w:t>Mapbox. (2025). Introducing the Mapbox Model Context Protocol (MCP) Server. Mapbox Blog.</w:t>
      </w:r>
    </w:p>
    <w:p w14:paraId="636F6DF0">
      <w:pPr>
        <w:ind w:left="720" w:hanging="720"/>
      </w:pPr>
      <w:r>
        <w:rPr>
          <w:rFonts w:ascii="Calibri" w:hAnsi="Calibri"/>
          <w:sz w:val="18"/>
        </w:rPr>
        <w:t>Open Geospatial Consortium. (2024). OGC API — Processes — Part 1: Core. OGC Standard 18-062r2.</w:t>
      </w:r>
    </w:p>
    <w:p w14:paraId="60921209">
      <w:pPr>
        <w:ind w:left="720" w:hanging="720"/>
      </w:pPr>
      <w:r>
        <w:rPr>
          <w:rFonts w:ascii="Calibri" w:hAnsi="Calibri"/>
          <w:sz w:val="18"/>
        </w:rPr>
        <w:t>United Nations Committee of Experts on Global Geospatial Information Management. (2022). Future Trends in Geospatial Information Management: The Five to Ten Year Vision. UN-GGIM.</w:t>
      </w:r>
    </w:p>
    <w:p w14:paraId="3A4E50C5">
      <w:pPr>
        <w:ind w:left="720" w:hanging="720"/>
      </w:pPr>
      <w:r>
        <w:rPr>
          <w:rFonts w:ascii="Calibri" w:hAnsi="Calibri"/>
          <w:sz w:val="18"/>
        </w:rPr>
        <w:t>United Nations Conference on Trade and Development (UNCTAD). (2024). The AI Divide and the Global South. UN Reports.</w:t>
      </w:r>
    </w:p>
    <w:p w14:paraId="228618AC">
      <w:pPr>
        <w:ind w:left="720" w:hanging="720"/>
      </w:pPr>
      <w:r>
        <w:rPr>
          <w:rFonts w:ascii="Calibri" w:hAnsi="Calibri"/>
          <w:sz w:val="18"/>
        </w:rPr>
        <w:t>United Nations. (2023). UN Secretary-General's Data Strategy: Data Sovereignty with Interoperability. United Nations Executive Office of the Secretary-General.</w:t>
      </w:r>
    </w:p>
    <w:p w14:paraId="5437B6B2">
      <w:pPr>
        <w:ind w:left="720" w:hanging="720"/>
      </w:pPr>
      <w:r>
        <w:rPr>
          <w:rFonts w:ascii="Calibri" w:hAnsi="Calibri"/>
          <w:sz w:val="18"/>
        </w:rPr>
        <w:t>World Meteorological Organization. (2023). Atlas of Mortality and Economic Losses from Weather, Climate and Water Extremes (1970-2022). WMO.</w:t>
      </w:r>
    </w:p>
    <w:p w14:paraId="253C4AE9">
      <w:pPr>
        <w:ind w:left="720" w:hanging="720"/>
      </w:pPr>
      <w:r>
        <w:rPr>
          <w:rFonts w:ascii="Calibri" w:hAnsi="Calibri"/>
          <w:sz w:val="18"/>
        </w:rPr>
        <w:t>Xu, L., Li, S., Bai, Y., et al. (2018). CAFE: A Collaborative Analysis Framework for gridded Environmental data. Environmental Modelling &amp; Software, 111: 324-339.</w:t>
      </w:r>
    </w:p>
    <w:p w14:paraId="5C17F63D">
      <w:pPr>
        <w:ind w:left="720" w:hanging="720"/>
      </w:pPr>
      <w:r>
        <w:rPr>
          <w:rFonts w:ascii="Calibri" w:hAnsi="Calibri"/>
          <w:sz w:val="18"/>
        </w:rPr>
        <w:t>Xui, H., et al. (2024). On the Evolution of Knowledge Graphs: A Survey and Perspective. IEEE Transactions on Knowledge and Data Engineering.</w:t>
      </w:r>
    </w:p>
    <w:p w14:paraId="2407CCB4">
      <w:pPr>
        <w:ind w:left="720" w:hanging="720"/>
      </w:pPr>
      <w:r>
        <w:rPr>
          <w:rFonts w:ascii="Calibri" w:hAnsi="Calibri"/>
          <w:sz w:val="18"/>
        </w:rPr>
        <w:t>Zhang, Y., Ru, L., Wu, K., et al. (2025). SkySense++: A Semantic-Enhanced Multi-Modal Remote Sensing Foundation Model Beyond SkySense for Earth Observation. Nature Machine Intelligence.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FFFE4C"/>
    <w:rsid w:val="7EFD60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240"/>
      <w:outlineLvl w:val="0"/>
    </w:pPr>
    <w:rPr>
      <w:rFonts w:asciiTheme="majorHAnsi" w:hAnsiTheme="majorHAnsi" w:eastAsiaTheme="majorEastAsia" w:cstheme="majorBidi"/>
      <w:b/>
      <w:bCs/>
      <w:color w:val="1B2A4A"/>
      <w:sz w:val="44"/>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1B2A4A"/>
      <w:sz w:val="32"/>
      <w:szCs w:val="26"/>
    </w:rPr>
  </w:style>
  <w:style w:type="paragraph" w:styleId="5">
    <w:name w:val="heading 3"/>
    <w:basedOn w:val="1"/>
    <w:next w:val="1"/>
    <w:link w:val="140"/>
    <w:unhideWhenUsed/>
    <w:qFormat/>
    <w:uiPriority w:val="9"/>
    <w:pPr>
      <w:keepNext/>
      <w:keepLines/>
      <w:spacing w:before="280" w:after="120"/>
      <w:outlineLvl w:val="2"/>
    </w:pPr>
    <w:rPr>
      <w:rFonts w:asciiTheme="majorHAnsi" w:hAnsiTheme="majorHAnsi" w:eastAsiaTheme="majorEastAsia" w:cstheme="majorBidi"/>
      <w:b/>
      <w:bCs/>
      <w:color w:val="1B2A4A"/>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480" w:line="240" w:lineRule="auto"/>
      <w:contextualSpacing/>
    </w:pPr>
    <w:rPr>
      <w:rFonts w:asciiTheme="majorHAnsi" w:hAnsiTheme="majorHAnsi" w:eastAsiaTheme="majorEastAsia" w:cstheme="majorBidi"/>
      <w:b/>
      <w:color w:val="1B2A4A"/>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61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Hmmm</cp:lastModifiedBy>
  <dcterms:modified xsi:type="dcterms:W3CDTF">2026-06-18T15:51:57Z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2616C617416AE48C9DA3336A6A74F491_43</vt:lpwstr>
  </property>
</Properties>
</file>