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B2A4A"/>
          <w:sz w:val="72"/>
        </w:rPr>
        <w:t>GeoNexus</w:t>
      </w:r>
    </w:p>
    <w:p>
      <w:pPr>
        <w:jc w:val="center"/>
      </w:pPr>
      <w:r>
        <w:rPr>
          <w:rFonts w:ascii="Calibri" w:hAnsi="Calibri"/>
          <w:i/>
          <w:color w:val="556677"/>
          <w:sz w:val="28"/>
        </w:rPr>
        <w:t>Toward a Federated GeoAI Infrastructure</w:t>
      </w:r>
    </w:p>
    <w:p>
      <w:pPr>
        <w:jc w:val="center"/>
      </w:pPr>
      <w:r>
        <w:rPr>
          <w:rFonts w:ascii="Calibri" w:hAnsi="Calibri"/>
          <w:i/>
          <w:color w:val="556677"/>
          <w:sz w:val="28"/>
        </w:rPr>
        <w:t>for Global Public Geospatial Intelligence</w:t>
      </w:r>
    </w:p>
    <w:p/>
    <w:p>
      <w:pPr>
        <w:jc w:val="center"/>
      </w:pPr>
      <w:r>
        <w:rPr>
          <w:rFonts w:ascii="Calibri" w:hAnsi="Calibri"/>
          <w:color w:val="556677"/>
          <w:sz w:val="24"/>
        </w:rPr>
        <w:t>An Open Protocol Ecosystem for Interoperable, Sovereign, and AI-Native Geospatial Public Goods</w:t>
      </w:r>
    </w:p>
    <w:p>
      <w:pPr>
        <w:jc w:val="center"/>
      </w:pPr>
      <w:r>
        <w:rPr>
          <w:rFonts w:ascii="Calibri" w:hAnsi="Calibri"/>
          <w:color w:val="888888"/>
          <w:sz w:val="20"/>
        </w:rPr>
        <w:t>Whitepaper v1.0 — May 27, 2026</w:t>
      </w:r>
    </w:p>
    <w:p>
      <w:r>
        <w:br w:type="page"/>
      </w:r>
    </w:p>
    <w:p>
      <w:pPr>
        <w:pStyle w:val="Heading1"/>
      </w:pPr>
      <w:r>
        <w:t>Abstract</w:t>
      </w:r>
    </w:p>
    <w:p>
      <w:r>
        <w:rPr>
          <w:rFonts w:ascii="Calibri" w:hAnsi="Calibri"/>
          <w:sz w:val="22"/>
        </w:rPr>
        <w:t>The world faces urgent, spatially explicit challenges—climate change, food insecurity, disaster risk, and the monitoring of the United Nations Sustainable Development Goals (SDGs). Yet the geospatial intelligence needed to address these challenges remains fragmented across centralized platforms, incompatible standards, and institutional silos. Existing solutions either lock data into proprietary cloud environments, lack native AI orchestration, or fail to respect the data sovereignty requirements of nations and communities.</w:t>
      </w:r>
    </w:p>
    <w:p>
      <w:r>
        <w:rPr>
          <w:rFonts w:ascii="Calibri" w:hAnsi="Calibri"/>
          <w:sz w:val="22"/>
        </w:rPr>
        <w:t>GeoNexus is not another centralized GIS platform. It is a federated GeoAI interoperability framework designed to connect global geospatial datasets, AI models, analytical workflows, intelligent agents, and computational capabilities through open, lightweight protocols. GeoNexus introduces a "protocol-first, federation-second" paradigm built around five core abstractions: GeoMCP (Geospatial Model Context Protocol), GeoCard (semantic identity card for every geospatial asset), GeoSkill (reusable, self-describing analytical capabilities), GeoAgent (AI-native orchestration layer), and GeoNode (sovereign execution environment).</w:t>
      </w:r>
    </w:p>
    <w:p>
      <w:r>
        <w:rPr>
          <w:rFonts w:ascii="Calibri" w:hAnsi="Calibri"/>
          <w:sz w:val="22"/>
        </w:rPr>
        <w:t>This whitepaper defines the vision, core standards, reference architecture, security model, and ecosystem strategy of GeoNexus. Its goal is to establish an open, public-good infrastructure that enables any institution—from a UN agency to a small island developing state—to discover, compose, and execute geospatial AI capabilities across organizational boundaries without surrendering control of its data.</w:t>
      </w:r>
    </w:p>
    <w:p>
      <w:r>
        <w:br w:type="page"/>
      </w:r>
    </w:p>
    <w:p>
      <w:pPr>
        <w:pStyle w:val="Heading1"/>
      </w:pPr>
      <w:r>
        <w:t>Executive Summary</w:t>
      </w:r>
    </w:p>
    <w:p>
      <w:r>
        <w:rPr>
          <w:rFonts w:ascii="Calibri" w:hAnsi="Calibri"/>
          <w:sz w:val="22"/>
        </w:rPr>
        <w:t>Humanity's most pressing challenges are spatially explicit. Climate resilience demands high-resolution hazard mapping and adaptation planning. The SDGs require consistent, cross-border environmental and social indicators. Disaster risk reduction depends on rapid, multi-source situational awareness. Food and water security rely on continuous monitoring of crop health, soil moisture, and water bodies. Addressing these challenges at scale requires seamless integration of Earth observation data, AI models, demographic datasets, and physics-based simulations—across jurisdictions and institutions.</w:t>
      </w:r>
    </w:p>
    <w:p>
      <w:r>
        <w:rPr>
          <w:rFonts w:ascii="Calibri" w:hAnsi="Calibri"/>
          <w:sz w:val="22"/>
        </w:rPr>
        <w:t>Yet today's geospatial ecosystem suffers from a profound fragmentation crisis. Major platforms operate as centralized data silos that, while powerful individually, cannot easily interoperate. Data exists in incompatible formats across thousands of institutional repositories. AI models are trained in isolation without standardized interfaces for discovery or composition. And increasingly, nations demand that their sensitive geospatial data remain within their sovereign jurisdiction—a requirement that centralized architectures fundamentally cannot satisfy.</w:t>
      </w:r>
    </w:p>
    <w:p>
      <w:r>
        <w:rPr>
          <w:rFonts w:ascii="Calibri" w:hAnsi="Calibri"/>
          <w:sz w:val="22"/>
        </w:rPr>
        <w:t>GeoNexus addresses this fragmentation at the architectural level. Rather than building yet another platform that aggregates data into a single warehouse, GeoNexus defines open protocols that allow existing data repositories, compute engines, and AI services to interoperate as a federated capability network. Data stays local; only metadata, capability descriptions, and orchestration commands travel. This "bring computation to data" paradigm, pioneered in environmental science by the CAFE framework (Xu, Li, Bai et al., 2018), is extended in GeoNexus with AI-native semantic discovery and contract-driven autonomous execution, inspired by the AutoGIS agent architecture (Chen, Bai &amp; Li et al., 2025).</w:t>
      </w:r>
    </w:p>
    <w:p>
      <w:r>
        <w:rPr>
          <w:rFonts w:ascii="Calibri" w:hAnsi="Calibri"/>
          <w:sz w:val="22"/>
        </w:rPr>
        <w:t>GeoNexus is positioned to serve as the interoperability backbone for the United Nations Global Geospatial Knowledge and Innovation Centre (UN-GGKIC) and the broader ecosystem of global geospatial public goods. By separating protocols from implementations, capability semantics from data storage, and AI orchestration from monolithic GIS engines, GeoNexus enables a new class of collaboration that respects sovereignty while unlocking collective intelligence for planetary stewardship.</w:t>
      </w:r>
    </w:p>
    <w:p>
      <w:r>
        <w:br w:type="page"/>
      </w:r>
    </w:p>
    <w:p>
      <w:pPr>
        <w:pStyle w:val="Heading1"/>
      </w:pPr>
      <w:r>
        <w:t>Part I — Background &amp; Motivation</w:t>
      </w:r>
    </w:p>
    <w:p>
      <w:pPr>
        <w:pStyle w:val="Heading2"/>
      </w:pPr>
      <w:r>
        <w:t>1. The Global Challenge Landscape</w:t>
      </w:r>
    </w:p>
    <w:p>
      <w:r>
        <w:rPr>
          <w:rFonts w:ascii="Calibri" w:hAnsi="Calibri"/>
          <w:sz w:val="22"/>
        </w:rPr>
        <w:t>The international community faces a convergence of spatially explicit crises that demand coordinated, data-driven responses at a planetary scale. Climate change is intensifying the frequency and severity of extreme weather events, with the World Meteorological Organization reporting a five-fold increase in climate-related disasters over the past 50 years. The Sendai Framework for Disaster Risk Reduction calls for multi-hazard early warning systems that require real-time integration of satellite imagery, ground sensor networks, hydrodynamic models, and population exposure data—a technical integration that few nations can independently achieve.</w:t>
      </w:r>
    </w:p>
    <w:p>
      <w:r>
        <w:rPr>
          <w:rFonts w:ascii="Calibri" w:hAnsi="Calibri"/>
          <w:sz w:val="22"/>
        </w:rPr>
        <w:t>The 2030 Agenda for Sustainable Development introduced 17 SDGs with 231 unique indicators, over 40% of which require geospatial data for effective monitoring (UN-GGIM, 2022). Tracking progress on SDG 6 (Clean Water), SDG 11 (Sustainable Cities), SDG 13 (Climate Action), and SDG 15 (Life on Land) demands continuous Earth observation, consistent environmental baselines, and cross-border data harmonization. Yet according to the UN Conference on Trade and Development (UNCTAD, 2024), developing countries face a widening "AI Divide"—lacking both the computational infrastructure and the technical capacity to transform raw geospatial data into actionable intelligence.</w:t>
      </w:r>
    </w:p>
    <w:p>
      <w:r>
        <w:rPr>
          <w:rFonts w:ascii="Calibri" w:hAnsi="Calibri"/>
          <w:sz w:val="22"/>
        </w:rPr>
        <w:t>Food security, biodiversity loss, water scarcity, and forced migration are all fundamentally spatial phenomena. Each requires the fusion of heterogeneous data sources—satellite constellations (optical, SAR, thermal), in-situ sensor networks, demographic surveys, economic models—analyzed through increasingly sophisticated AI pipelines. The global community possesses the data and the algorithms to address these challenges. What it lacks is the interoperable infrastructure to connect them at scale.</w:t>
      </w:r>
    </w:p>
    <w:p>
      <w:pPr>
        <w:pStyle w:val="Heading2"/>
      </w:pPr>
      <w:r>
        <w:t>2. Limitations of Current Systems</w:t>
      </w:r>
    </w:p>
    <w:p>
      <w:r>
        <w:rPr>
          <w:rFonts w:ascii="Calibri" w:hAnsi="Calibri"/>
          <w:sz w:val="22"/>
        </w:rPr>
        <w:t>The contemporary geospatial technology landscape is characterized by deep capability but shallow interoperability. Google Earth Engine (GEE) has demonstrated the transformative potential of cloud-based geospatial analysis at scale, processing petabytes of satellite imagery through a unified API. The Open Geospatial Consortium (OGC) has developed mature standards—WMS, WFS, WCS, WPS—that enable interoperable access to geospatial data and processing services. Spatial Data Infrastructures (SDIs) such as INSPIRE in Europe and NSDI in the United States have established governance frameworks for national and regional data sharing.</w:t>
      </w:r>
    </w:p>
    <w:p>
      <w:r>
        <w:rPr>
          <w:rFonts w:ascii="Calibri" w:hAnsi="Calibri"/>
          <w:sz w:val="22"/>
        </w:rPr>
        <w:t>However, these systems share fundamental architectural limitations when evaluated against the requirements of global-scale, AI-driven geospatial intelligence. First, centralized platforms require data to be ingested into a single cloud environment—a model that is increasingly incompatible with national data sovereignty regulations and the practical reality that many critical datasets are too large, too sensitive, or too frequently updated to replicate across jurisdictions. Second, existing interoperability standards were designed primarily for human-driven data discovery and visualization workflows, not for machine-to-machine service composition or AI agent orchestration. They lack the semantic richness needed for an intelligent agent to autonomously discover, evaluate, and chain analytical capabilities across distributed nodes.</w:t>
      </w:r>
    </w:p>
    <w:p>
      <w:r>
        <w:rPr>
          <w:rFonts w:ascii="Calibri" w:hAnsi="Calibri"/>
          <w:sz w:val="22"/>
        </w:rPr>
        <w:t>Third, current AI platforms for geospatial analysis operate in isolation—each training its own models, exposing its own APIs, and managing its own compute resources. There is no standardized mechanism for a climate vulnerability model trained in one institution to discover and invoke a flood mapping service operated by another, or for an autonomous planning agent to compose a multi-step analytical workflow spanning satellite data repositories, statistical engines, and physics-based simulators distributed across multiple countries. The result is a GeoAI fragmentation crisis: data and models exist in abundance, but they cannot easily discover each other, cannot compose safely, and cannot be orchestrated across sovereign environments.</w:t>
      </w:r>
    </w:p>
    <w:p>
      <w:pPr>
        <w:pStyle w:val="Heading2"/>
      </w:pPr>
      <w:r>
        <w:t>3. Why Federation and Data Sovereignty Matter Now</w:t>
      </w:r>
    </w:p>
    <w:p>
      <w:r>
        <w:rPr>
          <w:rFonts w:ascii="Calibri" w:hAnsi="Calibri"/>
          <w:sz w:val="22"/>
        </w:rPr>
        <w:t>A centralized model for global geospatial infrastructure is no longer acceptable—technically, politically, or legally. The European Union's General Data Protection Regulation (GDPR), China's Data Security Law, and similar frameworks in Brazil (LGPD), India (DPDP Act), and across Africa have established that certain categories of data—including high-resolution geospatial data with national security implications—must remain within sovereign jurisdictions. Simultaneously, the UN Secretary-General's Data Strategy emphasizes the principle of "data sovereignty with interoperability" as a foundation for international cooperation.</w:t>
      </w:r>
    </w:p>
    <w:p>
      <w:r>
        <w:rPr>
          <w:rFonts w:ascii="Calibri" w:hAnsi="Calibri"/>
          <w:sz w:val="22"/>
        </w:rPr>
        <w:t>A federated architecture—where data and models remain under the control of their custodians, and only metadata, capability descriptions, semantic contracts, and orchestration commands travel across organizational boundaries—is the only viable path to a truly global, inclusive GeoAI infrastructure. This "bring computation to data" paradigm was first demonstrated at scale by the CAFE framework (Collaborative Analysis Framework for gridded Environmental data; Xu, Li, Bai et al., 2018), which orchestrated distributed analysis of CMIP5 climate model data across Chinese research institutions without requiring centralized data replication. GeoNexus generalizes this paradigm from climate science to the full spectrum of geospatial intelligence.</w:t>
      </w:r>
    </w:p>
    <w:p>
      <w:r>
        <w:rPr>
          <w:rFonts w:ascii="Calibri" w:hAnsi="Calibri"/>
          <w:sz w:val="22"/>
        </w:rPr>
        <w:t>The timing is critical. The rapid emergence of large language models (LLMs), multi-modal remote sensing foundation models (RSFMs), and autonomous AI agents is reshaping the geospatial technology landscape. Without open, federation-first protocols established now, the next generation of GeoAI infrastructure will default to proprietary, centralized architectures that deepen the digital divide rather than bridge it. GeoNexus is designed from the ground up to ensure that the AI-driven geospatial revolution is open, inclusive, and sovereignty-preserving.</w:t>
      </w:r>
    </w:p>
    <w:p>
      <w:r>
        <w:br w:type="page"/>
      </w:r>
    </w:p>
    <w:p>
      <w:pPr>
        <w:pStyle w:val="Heading1"/>
      </w:pPr>
      <w:r>
        <w:t>Part II — Vision &amp; Design Philosophy</w:t>
      </w:r>
    </w:p>
    <w:p>
      <w:pPr>
        <w:pStyle w:val="Heading2"/>
      </w:pPr>
      <w:r>
        <w:t>4. GeoNexus Vision</w:t>
      </w:r>
    </w:p>
    <w:p>
      <w:r>
        <w:rPr>
          <w:rFonts w:ascii="Calibri" w:hAnsi="Calibri"/>
          <w:sz w:val="22"/>
        </w:rPr>
        <w:t>GeoNexus envisions a world where geospatial AI capabilities are as discoverable and composable as open-source software libraries. A user—whether a policy analyst at a UN agency, a disaster response coordinator in a national emergency operations center, or an agricultural extension officer in a rural district—should be able to state a geospatial goal in natural language and have an intelligent system automatically discover relevant data assets, analytical skills, and AI models, then execute them securely across federated nodes, without manual data downloading, format conversion, or API negotiation.</w:t>
      </w:r>
    </w:p>
    <w:p>
      <w:r>
        <w:rPr>
          <w:rFonts w:ascii="Calibri" w:hAnsi="Calibri"/>
          <w:sz w:val="22"/>
        </w:rPr>
        <w:t>This vision is not speculative. The foundational technologies exist today: semantic vector search enables natural language discovery of geospatial assets; container-based execution environments enable safe, reproducible computation on remote infrastructure; and large language models can parse user intent and generate structured analytical workflows. The missing piece is the protocol layer—the standardized communication language that allows these components to interoperate across institutional and jurisdictional boundaries. GeoNexus provides that layer.</w:t>
      </w:r>
    </w:p>
    <w:p>
      <w:pPr>
        <w:pStyle w:val="Heading2"/>
      </w:pPr>
      <w:r>
        <w:t>5. Core Design Principles</w:t>
      </w:r>
    </w:p>
    <w:p>
      <w:r>
        <w:rPr>
          <w:rFonts w:ascii="Calibri" w:hAnsi="Calibri"/>
          <w:sz w:val="22"/>
        </w:rPr>
        <w:t>GeoNexus is governed by eight core design principles that collectively distinguish it from existing geospatial architectures:</w:t>
      </w:r>
    </w:p>
    <w:p>
      <w:r>
        <w:rPr>
          <w:rFonts w:ascii="Calibri" w:hAnsi="Calibri"/>
          <w:sz w:val="22"/>
        </w:rPr>
        <w:t>Federation-First. No central data warehouse is required. Every GeoNode retains full sovereignty over the data it hosts, sharing only machine-readable GeoCards that describe capabilities without exposing underlying data. The network operates as a web of peers rather than a hub-and-spoke hierarchy.</w:t>
      </w:r>
    </w:p>
    <w:p>
      <w:r>
        <w:rPr>
          <w:rFonts w:ascii="Calibri" w:hAnsi="Calibri"/>
          <w:sz w:val="22"/>
        </w:rPr>
        <w:t>AI-Native. Every capability in GeoNexus is described in machine-readable, AI-retrievable semantics. GeoCards carry vector embeddings that enable semantic search. GeoSkills expose structured input/output contracts that an AI agent can inspect before invocation. This is not a retrofit of AI onto a legacy architecture—GeoNexus is designed from the protocol level upward to be consumed by intelligent agents.</w:t>
      </w:r>
    </w:p>
    <w:p>
      <w:r>
        <w:rPr>
          <w:rFonts w:ascii="Calibri" w:hAnsi="Calibri"/>
          <w:sz w:val="22"/>
        </w:rPr>
        <w:t>Protocol-Centric. Interoperability is achieved through open, versioned protocols, not monolithic engines or mandatory software stacks. As long as a system speaks GeoMCP and produces valid GeoCards, it can participate in the GeoNexus network regardless of its internal implementation—whether Python, R, Julia, or a legacy Fortran model wrapped with an adapter. This is the same philosophy that made HTTP the universal language of the web.</w:t>
      </w:r>
    </w:p>
    <w:p>
      <w:r>
        <w:rPr>
          <w:rFonts w:ascii="Calibri" w:hAnsi="Calibri"/>
          <w:sz w:val="22"/>
        </w:rPr>
        <w:t>Capability-Oriented. The fundamental unit of sharing in GeoNexus is a GeoSkill—a self-contained, versioned analytical capability—not a dataset dump. This shifts the paradigm from "give me your data so I can analyze it" to "run this analysis on your data and give me the result." It respects sovereignty, reduces data transfer, and enables capabilities to be composed into complex workflows.</w:t>
      </w:r>
    </w:p>
    <w:p>
      <w:r>
        <w:rPr>
          <w:rFonts w:ascii="Calibri" w:hAnsi="Calibri"/>
          <w:sz w:val="22"/>
        </w:rPr>
        <w:t>Sovereignty-Preserving. Compliance constraints—data licensing, jurisdictional restrictions, privacy requirements—are first-class citizens of the GeoNexus protocol stack, encoded directly in GeoCards and enforced by GeoNode policy engines (OPA/Rego) before any execution takes place. This transforms compliance from a manual, post-hoc checklist into an automated, pre-execution gate.</w:t>
      </w:r>
    </w:p>
    <w:p>
      <w:r>
        <w:rPr>
          <w:rFonts w:ascii="Calibri" w:hAnsi="Calibri"/>
          <w:sz w:val="22"/>
        </w:rPr>
        <w:t>Open Ecosystem. GeoNexus is designed for community contribution and multi-stakeholder governance, not single-vendor control. The protocol specifications, reference implementation, SDKs, and compliance test suites are developed in the open. A GeoCard Registry analogous to HuggingFace Hub enables anyone to publish, discover, and review geospatial capabilities.</w:t>
      </w:r>
    </w:p>
    <w:p>
      <w:r>
        <w:rPr>
          <w:rFonts w:ascii="Calibri" w:hAnsi="Calibri"/>
          <w:sz w:val="22"/>
        </w:rPr>
        <w:t>Cloud-Native and Edge-Ready. GeoNexus runs across the full spectrum of deployment environments—from multi-tenant cloud Kubernetes clusters to on-premise edge nodes in data centers with limited connectivity. The GeoNode runtime is designed for both high-throughput cloud environments and resource-constrained edge deployments.</w:t>
      </w:r>
    </w:p>
    <w:p>
      <w:r>
        <w:rPr>
          <w:rFonts w:ascii="Calibri" w:hAnsi="Calibri"/>
          <w:sz w:val="22"/>
        </w:rPr>
        <w:t>Human-AI Collaborative. GeoAgent is an AI-native orchestration layer that autonomously plans and dispatches analytical workflows, but human oversight remains integral. Agents propose workflows; humans approve, steer, and interpret. This balances the efficiency of autonomous execution with the accountability required for high-stakes decisions in disaster response, public health, and environmental governance.</w:t>
      </w:r>
    </w:p>
    <w:p>
      <w:pPr>
        <w:pStyle w:val="Heading2"/>
      </w:pPr>
      <w:r>
        <w:t>6. Conceptual Architecture Overview</w:t>
      </w:r>
    </w:p>
    <w:p>
      <w:r>
        <w:rPr>
          <w:rFonts w:ascii="Calibri" w:hAnsi="Calibri"/>
          <w:sz w:val="22"/>
        </w:rPr>
        <w:t>GeoNexus is built around five core abstractions that together form a federated capability network:</w:t>
      </w:r>
    </w:p>
    <w:p>
      <w:r>
        <w:rPr>
          <w:rFonts w:ascii="Calibri" w:hAnsi="Calibri"/>
          <w:sz w:val="22"/>
        </w:rPr>
        <w:t>GeoMCP (Geospatial Model Context Protocol). The universal communication layer. Inspired by JSON-RPC 2.0 and designed for RESTful compatibility, GeoMCP defines a minimal set of methods—discover, describe, execute, status—for all GeoNexus interactions. Every request carries spatial context (coordinate reference system, bounding box) and optional security credentials. The protocol is transport-agnostic, realized over gRPC for internal node communication and RESTful HTTPS for external access.</w:t>
      </w:r>
    </w:p>
    <w:p>
      <w:r>
        <w:rPr>
          <w:rFonts w:ascii="Calibri" w:hAnsi="Calibri"/>
          <w:sz w:val="22"/>
        </w:rPr>
        <w:t>GeoCard (Semantic Identity Card). A machine-readable passport for every dataset, model, skill, workflow, and compute node in the ecosystem. A GeoCard encodes identity, spatial-temporal capabilities, execution requirements, compliance constraints, and vector embeddings for semantic search. GeoCards replace ad-hoc metadata with standardized, AI-consumable contracts.</w:t>
      </w:r>
    </w:p>
    <w:p>
      <w:r>
        <w:rPr>
          <w:rFonts w:ascii="Calibri" w:hAnsi="Calibri"/>
          <w:sz w:val="22"/>
        </w:rPr>
        <w:t>GeoSkill (Executable Analytical Capability). A self-contained, versioned unit of geospatial computation—packaging code, runtime environment, and GeoCard into a testable, shareable artifact. GeoSkills are stateless where possible, accept structured inputs, return standardized outputs, and can be chained into directed acyclic graphs (DAGs) by a GeoAgent planner.</w:t>
      </w:r>
    </w:p>
    <w:p>
      <w:r>
        <w:rPr>
          <w:rFonts w:ascii="Calibri" w:hAnsi="Calibri"/>
          <w:sz w:val="22"/>
        </w:rPr>
        <w:t>GeoAgent (AI Orchestration Layer). An AI-native planning and execution engine that translates user intent—whether expressed in natural language or structured queries—into optimized multi-step workflows. GeoAgent retrieves relevant GeoCards via semantic search, plans a DAG of GeoSkill invocations, dispatches execution to appropriate GeoNodes respecting sovereignty and capability constraints, and synthesizes results.</w:t>
      </w:r>
    </w:p>
    <w:p>
      <w:r>
        <w:rPr>
          <w:rFonts w:ascii="Calibri" w:hAnsi="Calibri"/>
          <w:sz w:val="22"/>
        </w:rPr>
        <w:t>GeoNode (Sovereign Execution Environment). A local deployment unit—potentially a single server, a Kubernetes cluster, or an edge device—that hosts GeoSkills, exposes GeoCards through a local registry, and enforces compliance policies. The core invariant of GeoNode is: data stays local. Skills execute in place and only derived results (statistical summaries, rendered maps, aggregated indicators) are shared externally.</w:t>
      </w:r>
    </w:p>
    <w:p>
      <w:r>
        <w:rPr>
          <w:rFonts w:ascii="Calibri" w:hAnsi="Calibri"/>
          <w:sz w:val="22"/>
        </w:rPr>
        <w:t>Around these five core abstractions orbit supporting services: GeoTrust, a reputation and governance layer that computes dynamic trust scores for assets and nodes based on provenance, community verification, and audit logs; Runtime Adapters, thin wrappers that expose existing geospatial engines—Google Earth Engine, OGC WPS, Rasdaman, Apache Spark—as GeoSkills without modification; and the Geospatial Temporal Knowledge Graph (GeoTKG), which grounds AI reasoning in physical geospatial constraints, encoding domain rules such as "floodplains are adjacent to rivers" and "deforestation precedes soil erosion" to validate workflow feasibility.</w:t>
      </w:r>
    </w:p>
    <w:p>
      <w:r>
        <w:br w:type="page"/>
      </w:r>
    </w:p>
    <w:p>
      <w:pPr>
        <w:pStyle w:val="Heading1"/>
      </w:pPr>
      <w:r>
        <w:t>Part III — Core Standards &amp; Protocols</w:t>
      </w:r>
    </w:p>
    <w:p>
      <w:r>
        <w:rPr>
          <w:rFonts w:ascii="Calibri" w:hAnsi="Calibri"/>
          <w:sz w:val="22"/>
        </w:rPr>
        <w:t>The core standards of GeoNexus are designed to be minimal, composable, and implementation-agnostic. They define what must be communicated, not how it must be implemented. This section specifies each standard at the level of detail needed for interoperable implementation.</w:t>
      </w:r>
    </w:p>
    <w:p>
      <w:pPr>
        <w:pStyle w:val="Heading2"/>
      </w:pPr>
      <w:r>
        <w:t>7. GeoMCP: Geospatial Model Context Protocol</w:t>
      </w:r>
    </w:p>
    <w:p>
      <w:r>
        <w:rPr>
          <w:rFonts w:ascii="Calibri" w:hAnsi="Calibri"/>
          <w:sz w:val="22"/>
        </w:rPr>
        <w:t>GeoMCP is the universal interoperability protocol of GeoNexus. It draws conceptual inspiration from the Model Context Protocol (MCP; Anthropic, 2025), which demonstrated that a minimal JSON-RPC-based protocol could enable LLMs to dynamically discover and invoke external tools and data sources. GeoMCP extends this pattern into the geospatial domain, adding spatial context, federated discovery, and long-running task management as first-class protocol concerns.</w:t>
      </w:r>
    </w:p>
    <w:p>
      <w:r>
        <w:rPr>
          <w:rFonts w:ascii="Calibri" w:hAnsi="Calibri"/>
          <w:sz w:val="22"/>
        </w:rPr>
        <w:t>GeoMCP defines four core methods for its minimum viable protocol (MVP):</w:t>
      </w:r>
    </w:p>
    <w:p>
      <w:r>
        <w:rPr>
          <w:rFonts w:ascii="Calibri" w:hAnsi="Calibri"/>
          <w:sz w:val="22"/>
        </w:rPr>
        <w:t>discover — Find GeoCards matching a natural language or structured query. Returns a ranked list of GeoCard summaries with relevance scores. Supports spatial filtering (bounding box, CRS), temporal filtering (time range), capability filtering (skill type, required inputs/outputs), and compliance filtering (license type, sovereignty level).</w:t>
      </w:r>
    </w:p>
    <w:p>
      <w:r>
        <w:rPr>
          <w:rFonts w:ascii="Calibri" w:hAnsi="Calibri"/>
          <w:sz w:val="22"/>
        </w:rPr>
        <w:t>describe — Fetch the complete GeoCard for a specific asset, including full input/output schemas, execution requirements, compliance constraints, and provenance metadata. This is the machine-readable contract that enables an AI agent to determine whether an asset can satisfy a given analytical requirement.</w:t>
      </w:r>
    </w:p>
    <w:p>
      <w:r>
        <w:rPr>
          <w:rFonts w:ascii="Calibri" w:hAnsi="Calibri"/>
          <w:sz w:val="22"/>
        </w:rPr>
        <w:t>execute — Invoke a GeoSkill with specified inputs, spatial constraints, and execution parameters. Returns a task identifier for long-running operations. Supports synchronous execution for lightweight tasks and asynchronous execution with status polling for compute-intensive geospatial processing (e.g., full-scene SAR analysis, global climate model downscaling).</w:t>
      </w:r>
    </w:p>
    <w:p>
      <w:r>
        <w:rPr>
          <w:rFonts w:ascii="Calibri" w:hAnsi="Calibri"/>
          <w:sz w:val="22"/>
        </w:rPr>
        <w:t>status — Monitor the progress of long-running geospatial tasks. Returns the current state (queued, running, completed, failed), progress percentage where estimable, intermediate results where available, and final outputs upon completion.</w:t>
      </w:r>
    </w:p>
    <w:p>
      <w:r>
        <w:rPr>
          <w:rFonts w:ascii="Calibri" w:hAnsi="Calibri"/>
          <w:sz w:val="22"/>
        </w:rPr>
        <w:t>Each GeoMCP request carries a spatial context header specifying the coordinate reference system (CRS), bounding box, and spatial operation type. This enables GeoNodes to perform server-side reprojection, spatial subsetting, and coordinate-aware computation without requiring clients to handle spatial reference system transformations. The protocol is transport-agnostic but initially realized over gRPC with Protocol Buffers for internal node-to-node communication and RESTful JSON over HTTPS for external client access, ensuring compatibility with existing web infrastructure and OGC service conventions.</w:t>
      </w:r>
    </w:p>
    <w:p>
      <w:r>
        <w:rPr>
          <w:rFonts w:ascii="Calibri" w:hAnsi="Calibri"/>
          <w:b/>
          <w:sz w:val="22"/>
        </w:rPr>
        <w:t>A minimal discover request example:</w:t>
      </w:r>
    </w:p>
    <w:p>
      <w:pPr>
        <w:spacing w:before="120" w:after="120"/>
        <w:shd w:fill="F5F5F5" w:val="clear"/>
      </w:pPr>
      <w:r>
        <w:rPr>
          <w:rFonts w:ascii="Consolas" w:hAnsi="Consolas"/>
          <w:color w:val="333333"/>
          <w:sz w:val="18"/>
        </w:rPr>
        <w:t>{</w:t>
        <w:br/>
        <w:t xml:space="preserve">  "jsonrpc": "2.0",</w:t>
        <w:br/>
        <w:t xml:space="preserve">  "method": "discover",</w:t>
        <w:br/>
        <w:t xml:space="preserve">  "params": {</w:t>
        <w:br/>
        <w:t xml:space="preserve">    "query": "flood extent mapping from Sentinel-1 SAR",</w:t>
        <w:br/>
        <w:t xml:space="preserve">    "spatial": {</w:t>
        <w:br/>
        <w:t xml:space="preserve">      "bbox": [16.0, -35.0, 33.0, -22.0],</w:t>
        <w:br/>
        <w:t xml:space="preserve">      "crs": "EPSG:4326"</w:t>
        <w:br/>
        <w:t xml:space="preserve">    },</w:t>
        <w:br/>
        <w:t xml:space="preserve">    "temporal": {</w:t>
        <w:br/>
        <w:t xml:space="preserve">      "start": "2025-01-01",</w:t>
        <w:br/>
        <w:t xml:space="preserve">      "end": "2025-06-30"</w:t>
        <w:br/>
        <w:t xml:space="preserve">    },</w:t>
        <w:br/>
        <w:t xml:space="preserve">    "filters": {</w:t>
        <w:br/>
        <w:t xml:space="preserve">      "skill_type": ["classification", "change_detection"],</w:t>
        <w:br/>
        <w:t xml:space="preserve">      "min_GeoTrust": 0.7</w:t>
        <w:br/>
        <w:t xml:space="preserve">    }</w:t>
        <w:br/>
        <w:t xml:space="preserve">  }</w:t>
        <w:br/>
        <w:t>}</w:t>
      </w:r>
    </w:p>
    <w:p>
      <w:pPr>
        <w:pStyle w:val="Heading2"/>
      </w:pPr>
      <w:r>
        <w:t>8. GeoCard: Semantic Identity for Geospatial Assets</w:t>
      </w:r>
    </w:p>
    <w:p>
      <w:r>
        <w:rPr>
          <w:rFonts w:ascii="Calibri" w:hAnsi="Calibri"/>
          <w:sz w:val="22"/>
        </w:rPr>
        <w:t>A GeoCard is the machine-readable passport of any GeoNexus asset. It replaces the heterogeneous, often human-oriented metadata conventions currently used across the geospatial ecosystem (ISO 19115, Dublin Core, STAC, schema.org) with a unified, AI-friendly contract specification. Every dataset, model, skill, workflow, compute node, and external service accessible through GeoNexus must be described by a GeoCard.</w:t>
      </w:r>
    </w:p>
    <w:p>
      <w:r>
        <w:rPr>
          <w:rFonts w:ascii="Calibri" w:hAnsi="Calibri"/>
          <w:sz w:val="22"/>
        </w:rPr>
        <w:t>A GeoCard is structured into five mandatory sections and two optional extensions:</w:t>
      </w:r>
    </w:p>
    <w:p>
      <w:r>
        <w:rPr>
          <w:rFonts w:ascii="Calibri" w:hAnsi="Calibri"/>
          <w:sz w:val="22"/>
        </w:rPr>
        <w:t>Identity. Globally unique identifier (UUID v7), human-readable name, asset type (dataset, model, skill, workflow, node, service), natural language description, keywords, and a vector embedding of the concatenated description and keywords for semantic similarity search.</w:t>
      </w:r>
    </w:p>
    <w:p>
      <w:r>
        <w:rPr>
          <w:rFonts w:ascii="Calibri" w:hAnsi="Calibri"/>
          <w:sz w:val="22"/>
        </w:rPr>
        <w:t>Capabilities. Machine-readable specification of what the asset provides or requires. For datasets: spatial extent (bounding box + CRS), spatial resolution, temporal coverage, band/channel inventory, data format, estimated volume. For skills: input schema (JSON Schema), output schema, required runtime, estimated execution time, parallelism characteristics. For models: framework, input tensor shapes, output classes, hardware requirements.</w:t>
      </w:r>
    </w:p>
    <w:p>
      <w:r>
        <w:rPr>
          <w:rFonts w:ascii="Calibri" w:hAnsi="Calibri"/>
          <w:sz w:val="22"/>
        </w:rPr>
        <w:t>Execution. Runtime requirements and invocation details. For skills: container image reference, entrypoint, resource requirements (CPU, memory, GPU, storage), expected execution time range, concurrency limits, and input/output data volume estimates. For compute nodes: available runtimes, total capacity, current load, supported acceleration hardware.</w:t>
      </w:r>
    </w:p>
    <w:p>
      <w:r>
        <w:rPr>
          <w:rFonts w:ascii="Calibri" w:hAnsi="Calibri"/>
          <w:sz w:val="22"/>
        </w:rPr>
        <w:t>Compliance. License type (SPDX identifier), data sovereignty classification (global, regional, national, restricted), applicable regulations (GDPR, national data protection laws), usage restrictions, attribution requirements, and allowed/disallowed downstream use categories. This section is machine-evaluated by GeoNode policy engines before any execution is authorized.</w:t>
      </w:r>
    </w:p>
    <w:p>
      <w:r>
        <w:rPr>
          <w:rFonts w:ascii="Calibri" w:hAnsi="Calibri"/>
          <w:sz w:val="22"/>
        </w:rPr>
        <w:t>Trust. Cryptographic provenance chain (who created, modified, and verified this asset), community ratings, usage statistics, audit log references, and endorsements from governance bodies. This section powers the GeoTrust reputation scoring system.</w:t>
      </w:r>
    </w:p>
    <w:p>
      <w:r>
        <w:rPr>
          <w:rFonts w:ascii="Calibri" w:hAnsi="Calibri"/>
          <w:b/>
          <w:sz w:val="22"/>
        </w:rPr>
        <w:t>A minimal GeoCard fragment for a flood mapping skill:</w:t>
      </w:r>
    </w:p>
    <w:p>
      <w:pPr>
        <w:spacing w:before="120" w:after="120"/>
        <w:shd w:fill="F5F5F5" w:val="clear"/>
      </w:pPr>
      <w:r>
        <w:rPr>
          <w:rFonts w:ascii="Consolas" w:hAnsi="Consolas"/>
          <w:color w:val="333333"/>
          <w:sz w:val="18"/>
        </w:rPr>
        <w:t>id: sentinel1-flood-skill-v2</w:t>
        <w:br/>
        <w:t>name: Sentinel-1 Flood Extent Mapping</w:t>
        <w:br/>
        <w:t>type: skill</w:t>
        <w:br/>
        <w:t>version: 2.1.0</w:t>
        <w:br/>
        <w:t>description: &gt;</w:t>
        <w:br/>
        <w:t xml:space="preserve">  Water extent mapping from Sentinel-1 GRD data</w:t>
        <w:br/>
        <w:t xml:space="preserve">  using adaptive thresholding and refined</w:t>
        <w:br/>
        <w:t xml:space="preserve">  segmentation. Validated on flood events in</w:t>
        <w:br/>
        <w:t xml:space="preserve">  South Asia, East Africa, and Southeast Asia.</w:t>
        <w:br/>
        <w:t>capabilities:</w:t>
        <w:br/>
        <w:t xml:space="preserve">  inputs:</w:t>
        <w:br/>
        <w:t xml:space="preserve">    - name: sar_image</w:t>
        <w:br/>
        <w:t xml:space="preserve">      type: GeoTIFF</w:t>
        <w:br/>
        <w:t xml:space="preserve">      bands: [VV, VH]</w:t>
        <w:br/>
        <w:t xml:space="preserve">      description: Sentinel-1 GRD preprocessed scene</w:t>
        <w:br/>
        <w:t xml:space="preserve">    - name: region</w:t>
        <w:br/>
        <w:t xml:space="preserve">      type: GeoJSON</w:t>
        <w:br/>
        <w:t xml:space="preserve">      description: Area of interest polygon</w:t>
        <w:br/>
        <w:t xml:space="preserve">  outputs:</w:t>
        <w:br/>
        <w:t xml:space="preserve">    - name: flood_mask</w:t>
        <w:br/>
        <w:t xml:space="preserve">      type: GeoTIFF</w:t>
        <w:br/>
        <w:t xml:space="preserve">      description: Binary water extent classification</w:t>
        <w:br/>
        <w:t xml:space="preserve">    - name: statistics</w:t>
        <w:br/>
        <w:t xml:space="preserve">      type: JSON</w:t>
        <w:br/>
        <w:t xml:space="preserve">      description: Flood area, water body count, confidence</w:t>
        <w:br/>
        <w:t xml:space="preserve">  spatial_resolution: 10m</w:t>
        <w:br/>
        <w:t xml:space="preserve">  temporal_range: [2014-10-03, ongoing]</w:t>
        <w:br/>
        <w:t>execution:</w:t>
        <w:br/>
        <w:t xml:space="preserve">  runtime: python3.10</w:t>
        <w:br/>
        <w:t xml:space="preserve">  entrypoint: executor.run</w:t>
        <w:br/>
        <w:t xml:space="preserve">  image: registry,geonode.io/flood-mapping:v2.1.0</w:t>
        <w:br/>
        <w:t xml:space="preserve">  resources:</w:t>
        <w:br/>
        <w:t xml:space="preserve">    cpu: 4</w:t>
        <w:br/>
        <w:t xml:space="preserve">    memory: 16Gi</w:t>
        <w:br/>
        <w:t xml:space="preserve">    storage: 50Gi</w:t>
        <w:br/>
        <w:t xml:space="preserve">  avg_execution_time: 180s</w:t>
        <w:br/>
        <w:t>compliance:</w:t>
        <w:br/>
        <w:t xml:space="preserve">  license: CC-BY-4.0</w:t>
        <w:br/>
        <w:t xml:space="preserve">  sovereignty: unrestricted</w:t>
        <w:br/>
        <w:t>trust:</w:t>
        <w:br/>
        <w:t xml:space="preserve">  provenance: geonode.io/provenance/s1-flood/v2.1.0</w:t>
        <w:br/>
        <w:t xml:space="preserve">  GeoTrust_score: 0.92</w:t>
      </w:r>
    </w:p>
    <w:p>
      <w:pPr>
        <w:pStyle w:val="Heading2"/>
      </w:pPr>
      <w:r>
        <w:t>9. GeoSkill Runtime Standard</w:t>
      </w:r>
    </w:p>
    <w:p>
      <w:r>
        <w:rPr>
          <w:rFonts w:ascii="Calibri" w:hAnsi="Calibri"/>
          <w:sz w:val="22"/>
        </w:rPr>
        <w:t>A GeoSkill is the executable embodiment of a geospatial analytical capability. It packages code, environment specification, and GeoCard into a versioned, testable, and publishable unit. The GeoSkill standard defines a directory structure and lifecycle that ensures any compliant runtime can execute any compliant GeoSkill without modification—analogous to how any OCI-compliant container runtime can execute any OCI-compliant container image.</w:t>
      </w:r>
    </w:p>
    <w:p>
      <w:r>
        <w:rPr>
          <w:rFonts w:ascii="Calibri" w:hAnsi="Calibri"/>
          <w:sz w:val="22"/>
        </w:rPr>
        <w:t>The standard GeoSkill directory structure consists of: geocard.yaml (the semantic identity), executor.py or equivalent (the core execution logic receiving standardized input and producing standardized output), workflow.yaml (optional DAG definition for multi-step skills), environment.yaml (Conda or Docker environment specification ensuring reproducibility), a tests/ directory containing validation data and unit tests, and a README.md for human documentation. Skills are stateless where possible: they receive all inputs through their defined input schema, process them in isolation, and return outputs through their defined output schema.</w:t>
      </w:r>
    </w:p>
    <w:p>
      <w:r>
        <w:rPr>
          <w:rFonts w:ascii="Calibri" w:hAnsi="Calibri"/>
          <w:sz w:val="22"/>
        </w:rPr>
        <w:t>GeoSkills are designed for composition. A GeoAgent planner can chain multiple skills into a directed acyclic graph (DAG) where the output of one skill becomes the input of the next. For example, a flood risk assessment workflow might chain: Sentinel-1 preprocessing → water extent mapping (the skill defined above) → population exposure zonal statistics → risk report generation. Each skill in the chain executes independently—potentially on different GeoNodes—with GeoMCP carrying intermediate results between nodes.</w:t>
      </w:r>
    </w:p>
    <w:p>
      <w:pPr>
        <w:spacing w:before="120" w:after="120"/>
        <w:shd w:fill="F5F5F5" w:val="clear"/>
      </w:pPr>
      <w:r>
        <w:rPr>
          <w:rFonts w:ascii="Consolas" w:hAnsi="Consolas"/>
          <w:color w:val="333333"/>
          <w:sz w:val="18"/>
        </w:rPr>
        <w:t>flood_mapping/</w:t>
        <w:br/>
        <w:t>├── geocard.yaml          # Semantic identity card</w:t>
        <w:br/>
        <w:t>├── executor.py           # Core execution logic</w:t>
        <w:br/>
        <w:t>├── workflow.yaml         # Multi-step DAG definition</w:t>
        <w:br/>
        <w:t>├── environment.yaml      # Reproducible runtime spec</w:t>
        <w:br/>
        <w:t>├── tests/</w:t>
        <w:br/>
        <w:t>│   ├── test_data/        # Validation fixtures</w:t>
        <w:br/>
        <w:t>│   └── test_executor.py  # Unit and integration tests</w:t>
        <w:br/>
        <w:t>└── README.md             # Human documentation</w:t>
      </w:r>
    </w:p>
    <w:p>
      <w:pPr>
        <w:pStyle w:val="Heading2"/>
      </w:pPr>
      <w:r>
        <w:t>10. GeoAgent Orchestration Framework</w:t>
      </w:r>
    </w:p>
    <w:p>
      <w:r>
        <w:rPr>
          <w:rFonts w:ascii="Calibri" w:hAnsi="Calibri"/>
          <w:sz w:val="22"/>
        </w:rPr>
        <w:t>GeoAgent is the AI-native orchestration layer of GeoNexus. It receives user intents—expressed in natural language or as structured analytical goals—and translates them into executable workflows composed of GeoSkills, dispatched across GeoNodes, with results synthesized and returned to the user.</w:t>
      </w:r>
    </w:p>
    <w:p>
      <w:r>
        <w:rPr>
          <w:rFonts w:ascii="Calibri" w:hAnsi="Calibri"/>
          <w:sz w:val="22"/>
        </w:rPr>
        <w:t>The GeoAgent pipeline has five stages. (1) Intent Parsing: The user's natural language request is parsed into a structured analytical goal specifying the phenomenon of interest, spatial domain, temporal window, required outputs, and any constraints. An LLM performs this parsing with a structured output schema. (2) Semantic Retrieval: The structured goal is embedded and used to query GeoCard registries via vector similarity search (Milvus/pgvector), supplemented by knowledge graph traversal in GeoTKG to discover physically relevant assets (e.g., "flood mapping requires SAR or optical water index capabilities"). (3) Workflow Planning: A LangGraph-based planner generates an optimized DAG of GeoSkill invocations, resolving input/output schema compatibility, estimating execution costs, and validating against compliance constraints. The planner can propose alternative workflows when multiple capability combinations can satisfy the goal. (4) Execution Routing: Each GeoSkill invocation in the DAG is dispatched to the appropriate GeoNode based on data locality, node capability, current load, sovereignty constraints, and GeoTrust score. GeoMCP execute calls carry the full execution context and are monitored via status polling. (5) Result Synthesis: Upon workflow completion, GeoAgent collects outputs from all nodes, performs any necessary post-processing (map rendering, statistical aggregation, report generation), and returns a unified result to the user through the ChatMap interface.</w:t>
      </w:r>
    </w:p>
    <w:p>
      <w:r>
        <w:rPr>
          <w:rFonts w:ascii="Calibri" w:hAnsi="Calibri"/>
          <w:sz w:val="22"/>
        </w:rPr>
        <w:t>The GeoAgent framework is implemented using LangGraph for deterministic, auditable planning with explicit state management, avoiding unbounded autonomous loops. Every planning decision is logged to the audit trail, enabling post-hoc review of why a particular dataset was selected, why a particular node was chosen for execution, and what alternatives were considered. This transparency is essential for accountability in high-stakes applications such as disaster response resource allocation or SDG progress reporting to the UN Statistical Commission.</w:t>
      </w:r>
    </w:p>
    <w:p>
      <w:r>
        <w:rPr>
          <w:rFonts w:ascii="Calibri" w:hAnsi="Calibri"/>
          <w:sz w:val="22"/>
        </w:rPr>
        <w:t>GeoAgent draws on the contract-driven autonomous agent paradigm established by AutoGIS (Chen, Bai &amp; Li et al., 2025), which demonstrated that structuring geospatial analysis as a contract verification problem—where a Data Agent discovers and validates data contracts and a Code Agent synthesizes and self-repairs execution code—achieves substantially higher reliability than direct LLM-to-code approaches. GeoNexus extends this pattern to the federated setting, where contracts (GeoCards) may span multiple sovereign nodes and compliance verification becomes a distributed consensus problem.</w:t>
      </w:r>
    </w:p>
    <w:p>
      <w:pPr>
        <w:pStyle w:val="Heading2"/>
      </w:pPr>
      <w:r>
        <w:t>11. GeoNode Architecture</w:t>
      </w:r>
    </w:p>
    <w:p>
      <w:r>
        <w:rPr>
          <w:rFonts w:ascii="Calibri" w:hAnsi="Calibri"/>
          <w:sz w:val="22"/>
        </w:rPr>
        <w:t>A GeoNode is the sovereign execution unit of the GeoNexus network. It is the architectural embodiment of the principle that data stays local—a GeoNode hosts data and skills within the jurisdictional and administrative boundaries of its operator, exposes only capability descriptions to the wider network, and executes analytical workloads in place, returning only derived results.</w:t>
      </w:r>
    </w:p>
    <w:p>
      <w:r>
        <w:rPr>
          <w:rFonts w:ascii="Calibri" w:hAnsi="Calibri"/>
          <w:sz w:val="22"/>
        </w:rPr>
        <w:t>Each GeoNode provides five core services. A local GeoCard Registry maintains the authoritative catalog of all assets hosted on the node, with vector search for semantic discovery and a synchronization protocol for selective federation to upstream registries. A GeoMCP Endpoint exposes the standard protocol methods (discover, describe, execute, status) and handles authentication, authorization, and request validation. A Skill Runtime provides isolated execution environments—container-based for trusted skills, WebAssembly (WASM) sandboxed for untrusted or community-contributed skills—with resource limits enforced through cgroups. An OPA Policy Engine evaluates Rego policies before any data access or skill execution, encoding national data protection laws, organizational access control rules, and sovereignty constraints as machine-enforceable rules. An Audit Logger records every request, policy evaluation, execution event, and result in an immutable append-only log for post-hoc compliance verification and GeoTrust scoring.</w:t>
      </w:r>
    </w:p>
    <w:p>
      <w:r>
        <w:rPr>
          <w:rFonts w:ascii="Calibri" w:hAnsi="Calibri"/>
          <w:sz w:val="22"/>
        </w:rPr>
        <w:t>GeoNodes can be deployed across a wide spectrum of environments: as Kubernetes deployments in public or private clouds for institutional data centers; as Docker Compose stacks on bare-metal servers for resource-constrained environments; or as lightweight WASM-only runtimes on edge devices for real-time sensor data processing. The GeoNode specification defines compliance levels—Core, Standard, and Advanced—that allow implementers to choose the feature set appropriate to their infrastructure while maintaining interoperability at the GeoMCP protocol level.</w:t>
      </w:r>
    </w:p>
    <w:p>
      <w:pPr>
        <w:pStyle w:val="Heading2"/>
      </w:pPr>
      <w:r>
        <w:t>12. GeoTrust &amp; Governance Framework</w:t>
      </w:r>
    </w:p>
    <w:p>
      <w:r>
        <w:rPr>
          <w:rFonts w:ascii="Calibri" w:hAnsi="Calibri"/>
          <w:sz w:val="22"/>
        </w:rPr>
        <w:t>In a federated ecosystem spanning diverse institutions, jurisdictions, and trust domains, trust cannot be assumed—it must be computable, auditable, and dynamically maintained. GeoTrust is the reputation and governance layer of GeoNexus, assigning quantitative trust scores to every asset (GeoCard), capability (GeoSkill), and execution environment (GeoNode) in the network.</w:t>
      </w:r>
    </w:p>
    <w:p>
      <w:r>
        <w:rPr>
          <w:rFonts w:ascii="Calibri" w:hAnsi="Calibri"/>
          <w:sz w:val="22"/>
        </w:rPr>
        <w:t>GeoTrust scores are computed from four dimensions. Provenance records establish cryptographic chains of custody: who created this asset, what modifications have been made, and which institutions have reviewed or endorsed it. Community signals capture distributed usage feedback: download counts, execution success rates, user ratings, and reported issues—aggregated with Sybil-resistant weighting to prevent manipulation. Execution audit logs provide objective performance data: task completion rates, result accuracy against validation benchmarks, uptime statistics, and policy compliance records. Governance endorsements represent formal validations from recognized bodies—UN agencies validating SDG indicator methodologies, national mapping agencies certifying reference datasets, or peer institutions confirming model accuracy through independent replication studies.</w:t>
      </w:r>
    </w:p>
    <w:p>
      <w:r>
        <w:rPr>
          <w:rFonts w:ascii="Calibri" w:hAnsi="Calibri"/>
          <w:sz w:val="22"/>
        </w:rPr>
        <w:t>GeoTrust is an optional but strongly recommended layer of the GeoNexus stack. Nodes and users may choose to filter capabilities by minimum GeoTrust score, prioritize higher-trust assets in discovery results, or require specific governance endorsements for critical applications. The scoring algorithm is transparent and the underlying data is publicly auditable, preventing GeoTrust from becoming a centralized gatekeeper while still providing meaningful quality signals in a decentralized ecosystem.</w:t>
      </w:r>
    </w:p>
    <w:p>
      <w:r>
        <w:br w:type="page"/>
      </w:r>
    </w:p>
    <w:p>
      <w:pPr>
        <w:pStyle w:val="Heading1"/>
      </w:pPr>
      <w:r>
        <w:t>Part IV — Federation Architecture</w:t>
      </w:r>
    </w:p>
    <w:p>
      <w:pPr>
        <w:pStyle w:val="Heading2"/>
      </w:pPr>
      <w:r>
        <w:t>13. Federation Network and Routing</w:t>
      </w:r>
    </w:p>
    <w:p>
      <w:r>
        <w:rPr>
          <w:rFonts w:ascii="Calibri" w:hAnsi="Calibri"/>
          <w:sz w:val="22"/>
        </w:rPr>
        <w:t>GeoNexus is not a single network but a web of independently operated GeoNodes that can discover each other through shared registries, peer-to-peer gossip protocols, or federated catalogs. The federation model is deliberately decentralized: there is no central registry that all nodes must register with, no single point of failure that can take down the network, and no mandatory hierarchy that smaller institutions must navigate to participate.</w:t>
      </w:r>
    </w:p>
    <w:p>
      <w:r>
        <w:rPr>
          <w:rFonts w:ascii="Calibri" w:hAnsi="Calibri"/>
          <w:sz w:val="22"/>
        </w:rPr>
        <w:t>A GeoGateway serves as an optional unified entry point for client queries. When a user submits a discover request through the gateway, it fans out the query to all federated GeoNode registries within its scope, merges and deduplicates results, and returns a unified ranked list. Routing decisions for execute requests consider four factors in weighted combination: GeoCard capability match against the requested analysis (does this node have the right data and skills?), data locality and sovereignty constraints (is the data already on this node, and can it legally be processed here?), node load and network latency (what is the current queue depth and round-trip time?), and GeoTrust scores (what is the reliability track record of this node and its assets?).</w:t>
      </w:r>
    </w:p>
    <w:p>
      <w:r>
        <w:rPr>
          <w:rFonts w:ascii="Calibri" w:hAnsi="Calibri"/>
          <w:sz w:val="22"/>
        </w:rPr>
        <w:t>The federation model draws architectural inspiration from the Central Server + Multi-Worker topology established by CAFE (Xu, Li, Bai et al., 2018), where a central scheduler decomposes tasks and dispatches sub-tasks to worker nodes at the data location. GeoNexus generalizes this from a single-organization Star topology to a multi-organization Mesh topology, where any GeoNode can serve as the entry point for a query and routing decisions are made collaboratively rather than by a single central scheduler. This requires addressing new challenges in cross-domain trust establishment, federated contract verification, and distributed task scheduling that are active areas of research and development within the GeoNexus project.</w:t>
      </w:r>
    </w:p>
    <w:p>
      <w:pPr>
        <w:pStyle w:val="Heading2"/>
      </w:pPr>
      <w:r>
        <w:t>14. Runtime Adapter Layer</w:t>
      </w:r>
    </w:p>
    <w:p>
      <w:r>
        <w:rPr>
          <w:rFonts w:ascii="Calibri" w:hAnsi="Calibri"/>
          <w:sz w:val="22"/>
        </w:rPr>
        <w:t>A central design commitment of GeoNexus is: we do not replace existing geo-engines; we connect them. The global geospatial community has invested decades and billions of dollars in mature geoprocessing infrastructure—Google Earth Engine, OGC-compliant Web Processing Services, Rasdaman array databases, Apache Spark-based raster analytics pipelines, and countless domain-specific scientific models. The Runtime Adapter Layer defines standard interfaces that encapsulate these engines as GeoSkills with minimal wrapping code.</w:t>
      </w:r>
    </w:p>
    <w:p>
      <w:r>
        <w:rPr>
          <w:rFonts w:ascii="Calibri" w:hAnsi="Calibri"/>
          <w:sz w:val="22"/>
        </w:rPr>
        <w:t>An adapter implements three functions: translate (convert GeoMCP execute requests into engine-specific API calls), execute (invoke the engine and monitor progress), and respond (convert engine outputs back into GeoMCP-compliant response formats). A GEE adapter, for instance, would translate a GeoSkill invocation into Earth Engine JavaScript/Python API calls, monitor the EE task queue for completion, and package results as GeoMCP responses. This means that an organization with extensive investment in GEE workflows can expose those workflows as GeoSkills without migration, immediately enabling their discovery and composition through GeoNexus by other network participants.</w:t>
      </w:r>
    </w:p>
    <w:p>
      <w:pPr>
        <w:pStyle w:val="Heading2"/>
      </w:pPr>
      <w:r>
        <w:t>15. Knowledge Graph &amp; RAG Architecture</w:t>
      </w:r>
    </w:p>
    <w:p>
      <w:r>
        <w:rPr>
          <w:rFonts w:ascii="Calibri" w:hAnsi="Calibri"/>
          <w:sz w:val="22"/>
        </w:rPr>
        <w:t>GeoNexus is grounded in physical geospatial knowledge—not just semantic similarity between text embeddings. The Geospatial Temporal Knowledge Graph (GeoTKG) stores physical relationships, geographic constraints, scientific principles, and domain rules that govern how geospatial phenomena interact. Example entries include "floodplains are spatially adjacent to river networks," "deforestation on slopes &gt;15 degrees increases landslide probability within 2-5 years," and "NDVI anomalies precede agricultural drought declarations by 2-4 weeks."</w:t>
      </w:r>
    </w:p>
    <w:p>
      <w:r>
        <w:rPr>
          <w:rFonts w:ascii="Calibri" w:hAnsi="Calibri"/>
          <w:sz w:val="22"/>
        </w:rPr>
        <w:t>During GeoAgent's planning phase, a Retrieval-Augmented Generation (RAG) pipeline operates in two stages. First, the user's intent is embedded and used to retrieve relevant GeoCards via vector similarity search against the GeoCard registry. Second, the proposed workflow is validated against GeoTKG: Can the planned sequence of operations produce physically meaningful results? Are the spatial and temporal resolutions of the selected datasets compatible? Are there known physical constraints that would invalidate the analysis (e.g., optical imagery is unsuitable during monsoon season due to cloud cover, requiring SAR instead)? This grounding step is critical for preventing AI-generated workflows that are syntactically valid but physically nonsensical—a class of error that purely statistical LLM planning is prone to.</w:t>
      </w:r>
    </w:p>
    <w:p>
      <w:r>
        <w:br w:type="page"/>
      </w:r>
    </w:p>
    <w:p>
      <w:pPr>
        <w:pStyle w:val="Heading1"/>
      </w:pPr>
      <w:r>
        <w:t>Part V — Security, Compliance &amp; Governance</w:t>
      </w:r>
    </w:p>
    <w:p>
      <w:pPr>
        <w:pStyle w:val="Heading2"/>
      </w:pPr>
      <w:r>
        <w:t>16. Zero-Trust Security Architecture</w:t>
      </w:r>
    </w:p>
    <w:p>
      <w:r>
        <w:rPr>
          <w:rFonts w:ascii="Calibri" w:hAnsi="Calibri"/>
          <w:sz w:val="22"/>
        </w:rPr>
        <w:t>GeoNexus adopts a zero-trust security model as its architectural baseline. No node, request, or user is trusted by default—every interaction must be authenticated, authorized, and audited. This is not a supplementary feature but a foundational architectural requirement, driven by the reality that GeoNexus nodes will operate across diverse administrative domains with heterogeneous security postures.</w:t>
      </w:r>
    </w:p>
    <w:p>
      <w:r>
        <w:rPr>
          <w:rFonts w:ascii="Calibri" w:hAnsi="Calibri"/>
          <w:sz w:val="22"/>
        </w:rPr>
        <w:t>The zero-trust architecture is implemented through four integrated mechanisms. Mutual TLS (mTLS) secures all node-to-node communication, with each GeoNode presenting a certificate that cryptographically binds its identity to a verifiable trust anchor. GeoCard-level access tokens enable fine-grained capability invocation control: a requester must present a valid token scoped to the specific GeoSkill being invoked, with the token carrying spatial, temporal, and operational constraints enforced by the receiving node's policy engine. WebAssembly (WASM) sandboxing provides a lightweight, language-agnostic isolation boundary for executing untrusted or community-contributed GeoSkills. WASM's capability-based security model ensures that a skill can only access resources explicitly granted to it—file system paths, network endpoints, environment variables—preventing host escape and lateral movement. Immutable audit logs, implemented as append-only ledgers with cryptographic chaining, record every request, policy evaluation, execution event, and data access for post-hoc compliance verification and forensic analysis.</w:t>
      </w:r>
    </w:p>
    <w:p>
      <w:r>
        <w:rPr>
          <w:rFonts w:ascii="Calibri" w:hAnsi="Calibri"/>
          <w:sz w:val="22"/>
        </w:rPr>
        <w:t>The security model is designed to be incrementally adoptable. The Core compliance level requires mTLS and basic token authentication. The Standard level adds WASM sandboxing and OPA policy enforcement. The Advanced level implements hardware-backed attestation (TEE/confidential computing), formal verification of security-critical components, and real-time threat detection through anomaly analysis of audit logs. This tiered approach ensures that security does not become a barrier to participation for resource-constrained institutions while providing a clear path to progressively stronger security guarantees.</w:t>
      </w:r>
    </w:p>
    <w:p>
      <w:pPr>
        <w:pStyle w:val="Heading2"/>
      </w:pPr>
      <w:r>
        <w:t>17. Policy Enforcement with Open Policy Agent</w:t>
      </w:r>
    </w:p>
    <w:p>
      <w:r>
        <w:rPr>
          <w:rFonts w:ascii="Calibri" w:hAnsi="Calibri"/>
          <w:sz w:val="22"/>
        </w:rPr>
        <w:t>Each GeoNode runs an embedded Open Policy Agent (OPA) engine that evaluates Rego policies as a pre-execution gate for every GeoMCP request. Policies encode the legal and administrative constraints of the node's operating jurisdiction—national data protection laws, institutional data-sharing agreements, license compliance requirements, and organizational access control rules—as machine-enforceable declarative rules.</w:t>
      </w:r>
    </w:p>
    <w:p>
      <w:r>
        <w:rPr>
          <w:rFonts w:ascii="Calibri" w:hAnsi="Calibri"/>
          <w:sz w:val="22"/>
        </w:rPr>
        <w:t>A Rego policy for data sovereignty enforcement might specify that requests originating from IP addresses outside the node's jurisdiction may only access GeoSkills tagged with sovereignty: unrestricted, while requests targeting skills tagged sovereignty: restricted or sovereignty: local-only require the requester's identity to be within an authorized organizational unit. Policy evaluation happens at the GeoMCP endpoint before any data access or computation is initiated, ensuring that compliance is preventive rather than detective. Policy bundles can be distributed and verified through the same GeoCard-based mechanism used for other GeoNexus assets, enabling transparent, version-controlled, and auditable policy management across the federation.</w:t>
      </w:r>
    </w:p>
    <w:p>
      <w:pPr>
        <w:pStyle w:val="Heading2"/>
      </w:pPr>
      <w:r>
        <w:t>18. Alignment with UN OICT and Global Norms</w:t>
      </w:r>
    </w:p>
    <w:p>
      <w:r>
        <w:rPr>
          <w:rFonts w:ascii="Calibri" w:hAnsi="Calibri"/>
          <w:sz w:val="22"/>
        </w:rPr>
        <w:t>GeoNexus is designed to meet the operational requirements of United Nations tenants as specified by the UN Office of Information and Communications Technology (OICT). This includes: Infrastructure as Code (Terraform) for fully automated, auditable deployment; single sign-on (SSO) integration with UN identity providers; tenant isolation ensuring that data and computation for one UN agency or member state are strictly separated from others; and multilingual interface support to serve the UN's six official languages.</w:t>
      </w:r>
    </w:p>
    <w:p>
      <w:r>
        <w:rPr>
          <w:rFonts w:ascii="Calibri" w:hAnsi="Calibri"/>
          <w:sz w:val="22"/>
        </w:rPr>
        <w:t>Beyond UN-specific requirements, GeoNexus's federated model naturally aligns with the principles of the UN Integrated Geospatial Information Framework (UN-IGIF), the Global Statistical Geospatial Framework (GSGF), and the UN Geospatial Network's Blueprint for Geospatial Information Management. By enabling sovereign data custodianship while facilitating standards-based interoperability, GeoNexus provides a technical implementation pathway for the governance frameworks that the international community has already agreed upon—bridging the gap between policy intent and operational reality.</w:t>
      </w:r>
    </w:p>
    <w:p>
      <w:r>
        <w:br w:type="page"/>
      </w:r>
    </w:p>
    <w:p>
      <w:pPr>
        <w:pStyle w:val="Heading1"/>
      </w:pPr>
      <w:r>
        <w:t>Part VI — Reference Implementation</w:t>
      </w:r>
    </w:p>
    <w:p>
      <w:r>
        <w:rPr>
          <w:rFonts w:ascii="Calibri" w:hAnsi="Calibri"/>
          <w:sz w:val="22"/>
        </w:rPr>
        <w:t>To demonstrate that the GeoNexus standards are implementable—not merely aspirational—the project maintains a minimal but complete reference implementation. This reference stack serves three purposes: it validates the protocol specifications through working code; it provides a starting point for institutions that wish to deploy their own GeoNodes; and it serves as the compliance test suite against which independent implementations can validate their GeoMCP conformance.</w:t>
      </w:r>
    </w:p>
    <w:p>
      <w:pPr>
        <w:pStyle w:val="Heading2"/>
      </w:pPr>
      <w:r>
        <w:t>19. GeoNexus Reference Stack</w:t>
      </w:r>
    </w:p>
    <w:p>
      <w:r>
        <w:rPr>
          <w:rFonts w:ascii="Calibri" w:hAnsi="Calibri"/>
          <w:sz w:val="22"/>
        </w:rPr>
        <w:t>The reference stack consists of six components, each implemented with widely adopted open-source technologies:</w:t>
      </w:r>
    </w:p>
    <w:p>
      <w:r>
        <w:rPr>
          <w:rFonts w:ascii="Calibri" w:hAnsi="Calibri"/>
          <w:sz w:val="22"/>
        </w:rPr>
        <w:t>Gateway — A FastAPI-based GeoMCP endpoint that provides the unified entry point for client interactions. It handles authentication, request validation, rate limiting, and fan-out of discover requests across federated registries. The gateway is stateless and horizontally scalable behind a load balancer.</w:t>
      </w:r>
    </w:p>
    <w:p>
      <w:r>
        <w:rPr>
          <w:rFonts w:ascii="Calibri" w:hAnsi="Calibri"/>
          <w:sz w:val="22"/>
        </w:rPr>
        <w:t>Registry — A PostgreSQL-backed GeoCard store with pgvector extension for semantic vector search. GeoCards are indexed by both structured fields (spatial extent via PostGIS, temporal range, asset type, compliance classification) and dense vector embeddings (cosine similarity for semantic discovery). The registry implements the GeoCard CRUD API and the GeoMCP discover/describe methods.</w:t>
      </w:r>
    </w:p>
    <w:p>
      <w:r>
        <w:rPr>
          <w:rFonts w:ascii="Calibri" w:hAnsi="Calibri"/>
          <w:sz w:val="22"/>
        </w:rPr>
        <w:t>GeoNode — A containerized local node deployment consisting of the GeoMCP endpoint, a local GeoCard registry, the Skill Runner (supporting both Docker-based and WASM-based execution), and the OPA policy engine. Deployable as a single docker-compose stack for development and small-scale deployment, or as a Helm chart for Kubernetes production environments.</w:t>
      </w:r>
    </w:p>
    <w:p>
      <w:r>
        <w:rPr>
          <w:rFonts w:ascii="Calibri" w:hAnsi="Calibri"/>
          <w:sz w:val="22"/>
        </w:rPr>
        <w:t>Skills — A curated set of reference GeoSkills demonstrating the GeoSkill specification: Sentinel-1 flood extent mapping (SAR thresholding and segmentation), NDVI time series analysis (vegetation health monitoring from Sentinel-2), heatwave risk assessment (LST anomaly detection with population exposure overlay), and land cover change detection (multi-temporal classification with transition matrix). Each skill includes a complete GeoCard, executor, test suite, and documentation.</w:t>
      </w:r>
    </w:p>
    <w:p>
      <w:r>
        <w:rPr>
          <w:rFonts w:ascii="Calibri" w:hAnsi="Calibri"/>
          <w:sz w:val="22"/>
        </w:rPr>
        <w:t>Planner Agent — A LangGraph-based workflow planner implementing the five-stage GeoAgent pipeline. The planner uses an LLM (default: Qwen3-32B or equivalent open-weight model) for intent parsing and workflow generation, with strict structured output schemas ensuring deterministic, valid DAGs. Planning decisions are logged to the audit trail for transparency.</w:t>
      </w:r>
    </w:p>
    <w:p>
      <w:r>
        <w:rPr>
          <w:rFonts w:ascii="Calibri" w:hAnsi="Calibri"/>
          <w:sz w:val="22"/>
        </w:rPr>
        <w:t>ChatMap UI — A React + MapLibre GL JS frontend that provides a natural language interface for interacting with GeoNexus. Users type geospatial questions, observe the agent's planning process, review intermediate results on an interactive map, and download final outputs. The UI supports both conversation-style interaction and structured query building for advanced users.</w:t>
      </w:r>
    </w:p>
    <w:p>
      <w:pPr>
        <w:pStyle w:val="Heading2"/>
      </w:pPr>
      <w:r>
        <w:t>20. MVP Demonstration: Flood Risk Analysis</w:t>
      </w:r>
    </w:p>
    <w:p>
      <w:r>
        <w:rPr>
          <w:rFonts w:ascii="Calibri" w:hAnsi="Calibri"/>
          <w:sz w:val="22"/>
        </w:rPr>
        <w:t>The canonical end-to-end demonstration of the GeoNexus reference stack is a flood risk analysis workflow that validates every layer of the architecture:</w:t>
      </w:r>
    </w:p>
    <w:p>
      <w:r>
        <w:rPr>
          <w:rFonts w:ascii="Calibri" w:hAnsi="Calibri"/>
          <w:sz w:val="22"/>
        </w:rPr>
        <w:t>A user opens the ChatMap interface and types: "Analyze flood risk in the Limpopo River Basin following the heavy rainfall of January 2025." GeoAgent's intent parser extracts the structured goal: phenomenon = flood extent; location = Limpopo Basin (spatial: [26.0, -25.5, 34.0, -22.0], CRS: EPSG:4326); temporal = 2025-01-15 to 2025-02-15; outputs = flood extent map, affected population estimate, summary report.</w:t>
      </w:r>
    </w:p>
    <w:p>
      <w:r>
        <w:rPr>
          <w:rFonts w:ascii="Calibri" w:hAnsi="Calibri"/>
          <w:sz w:val="22"/>
        </w:rPr>
        <w:t>The discovery phase searches GeoCard registries and returns: Sentinel-1 GRD data for the specified spatiotemporal window (GeoCard with 10m resolution, C-band SAR, cloud-penetrating capability—critical for flood mapping during persistent cloud cover), a 30m SRTM digital elevation model for terrain context, a flood mapping GeoSkill matching the SAR-based water extent requirements, a population density layer (WorldPop 2024, 100m resolution) for exposure assessment, and a zonal statistics GeoSkill for computing population within flood extent polygons.</w:t>
      </w:r>
    </w:p>
    <w:p>
      <w:r>
        <w:rPr>
          <w:rFonts w:ascii="Calibri" w:hAnsi="Calibri"/>
          <w:sz w:val="22"/>
        </w:rPr>
        <w:t>GeoAgent's planner generates a four-step DAG: (1) Sentinel-1 preprocessing (radiometric calibration, terrain correction, speckle filtering) → (2) Water extent mapping (adaptive thresholding + refinement segmentation, producing a binary flood mask) → (3) Population exposure zonal statistics (intersecting flood mask with population layer, computing total affected population and demographic breakdown) → (4) Report generation (map rendering, statistical summary, key findings narrative). The planner validates this DAG against GeoTKG, confirming that SAR is appropriate for the monsoon season conditions and that the spatial resolutions are compatible (10m flood mask can be meaningfully intersected with 100m population data with appropriate scaling).</w:t>
      </w:r>
    </w:p>
    <w:p>
      <w:r>
        <w:rPr>
          <w:rFonts w:ascii="Calibri" w:hAnsi="Calibri"/>
          <w:sz w:val="22"/>
        </w:rPr>
        <w:t>Execution is dispatched: the preprocessing and flood mapping skills execute on a GeoNode operated by the regional climate services center that hosts the Sentinel-1 archive; the population zonal statistics skill executes on a GeoNode at the national statistics office that hosts the population data (preserving sovereignty over demographic microdata). Only the flood mask—a derived product with no privacy implications—is transmitted between nodes. Results are synthesized by GeoAgent and rendered on the ChatMap UI: an interactive flood extent map overlaid with population exposure heatmaps, a statistical dashboard showing affected settlements and estimated displaced persons, and a structured report suitable for humanitarian response coordination.</w:t>
      </w:r>
    </w:p>
    <w:p>
      <w:r>
        <w:rPr>
          <w:rFonts w:ascii="Calibri" w:hAnsi="Calibri"/>
          <w:sz w:val="22"/>
        </w:rPr>
        <w:t>This single scenario validates the entire GeoMCP/GeoCard/GeoSkill/GeoNode/GeoAgent stack and demonstrates that federated, sovereign, AI-driven geospatial analysis is achievable with today's technology. The reference implementation of this workflow is available as open-source code, fully reproducible, and serves as a template for domain-specific workflows in drought monitoring, deforestation tracking, coastal erosion assessment, and urban heat island analysis.</w:t>
      </w:r>
    </w:p>
    <w:p>
      <w:r>
        <w:br w:type="page"/>
      </w:r>
    </w:p>
    <w:p>
      <w:pPr>
        <w:pStyle w:val="Heading1"/>
      </w:pPr>
      <w:r>
        <w:t>Part VII — Ecosystem &amp; Open Collaboration</w:t>
      </w:r>
    </w:p>
    <w:p>
      <w:pPr>
        <w:pStyle w:val="Heading2"/>
      </w:pPr>
      <w:r>
        <w:t>21. Developer Experience and SDKs</w:t>
      </w:r>
    </w:p>
    <w:p>
      <w:r>
        <w:rPr>
          <w:rFonts w:ascii="Calibri" w:hAnsi="Calibri"/>
          <w:sz w:val="22"/>
        </w:rPr>
        <w:t>The long-term success of GeoNexus depends not only on protocol quality but on developer experience. Geospatial scientists, data engineers, and AI researchers must be able to create GeoSkills, publish GeoCards, and deploy GeoNodes with minimal friction. GeoNexus ships with a comprehensive developer toolchain:</w:t>
      </w:r>
    </w:p>
    <w:p>
      <w:r>
        <w:rPr>
          <w:rFonts w:ascii="Calibri" w:hAnsi="Calibri"/>
          <w:sz w:val="22"/>
        </w:rPr>
        <w:t>Python and Node.js SDKs provide idiomatic client libraries for all GeoMCP methods, GeoCard schema validation, and GeoSkill scaffolding. A developer can create a new GeoSkill with a single CLI command (geonode skill init flood-mapping), which generates the standard directory structure, a skeleton executor, and a GeoCard template pre-populated with prompts for the developer to complete. A local sandbox mode (geonode dev) launches a full GeoNode stack on the developer's machine using Docker Compose, enabling offline development and testing before publication. Pre-built templates cover common geospatial analysis patterns—classification, change detection, zonal statistics, time series analysis, spatial interpolation—reducing the boilerplate code required to productionize a new analytical capability.</w:t>
      </w:r>
    </w:p>
    <w:p>
      <w:r>
        <w:rPr>
          <w:rFonts w:ascii="Calibri" w:hAnsi="Calibri"/>
          <w:sz w:val="22"/>
        </w:rPr>
        <w:t>The SDKs include GeoCard schema validation at build time, ensuring that published GeoCards conform to the specification and are semantically complete. A CI/CD integration template enables automated testing and publication of GeoSkills to a GeoNode registry as part of a standard software development workflow. This "GeoOps" pipeline—analogous to DevOps for geospatial capabilities—ensures that the GeoNexus ecosystem can scale through automation rather than manual curation.</w:t>
      </w:r>
    </w:p>
    <w:p>
      <w:pPr>
        <w:pStyle w:val="Heading2"/>
      </w:pPr>
      <w:r>
        <w:t>22. Marketplace and Community Strategy</w:t>
      </w:r>
    </w:p>
    <w:p>
      <w:r>
        <w:rPr>
          <w:rFonts w:ascii="Calibri" w:hAnsi="Calibri"/>
          <w:sz w:val="22"/>
        </w:rPr>
        <w:t>A public GeoCard Registry—conceptually analogous to HuggingFace Hub for machine learning models or Docker Hub for container images—will serve as the central discovery point for the GeoNexus ecosystem. Anyone can publish GeoCards describing their datasets, skills, models, and services. Community members can discover, rate, review, and fork capabilities. Usage metrics and GeoTrust scores provide quality signals. The registry itself is federated: institutions can operate their own registries while selectively synchronizing to the public hub, preserving control over what is externally visible.</w:t>
      </w:r>
    </w:p>
    <w:p>
      <w:r>
        <w:rPr>
          <w:rFonts w:ascii="Calibri" w:hAnsi="Calibri"/>
          <w:sz w:val="22"/>
        </w:rPr>
        <w:t>The marketplace fundamentally lowers the barrier to entry for developing countries and smaller institutions. Rather than needing to build and maintain complex geospatial AI infrastructure, an agricultural ministry can discover a pre-existing crop health monitoring GeoSkill, point it at their national satellite data archive on their GeoNode, and immediately benefit from state-of-the-art analytical capabilities developed and validated elsewhere. This "capability import" model—analogous to importing a software library rather than writing from scratch—is the mechanism through which GeoNexus addresses the GeoAI divide.</w:t>
      </w:r>
    </w:p>
    <w:p>
      <w:pPr>
        <w:pStyle w:val="Heading2"/>
      </w:pPr>
      <w:r>
        <w:t>23. Standardization Roadmap</w:t>
      </w:r>
    </w:p>
    <w:p>
      <w:r>
        <w:rPr>
          <w:rFonts w:ascii="Calibri" w:hAnsi="Calibri"/>
          <w:sz w:val="22"/>
        </w:rPr>
        <w:t>The GeoNexus protocols will progress through a phased standardization pathway designed to balance rapid iteration with eventual formal governance:</w:t>
      </w:r>
    </w:p>
    <w:p>
      <w:r>
        <w:rPr>
          <w:rFonts w:ascii="Calibri" w:hAnsi="Calibri"/>
          <w:sz w:val="22"/>
        </w:rPr>
        <w:t>Phase 1 (2026): GeoMCP v1.0 and GeoCard Specification v1.0 finalized. Reference stack stable and passing the full compliance test suite. Multi-node federation demonstrated between at least three independent GeoNode deployments. Initial SDKs and developer tooling released. Community contribution process established.</w:t>
      </w:r>
    </w:p>
    <w:p>
      <w:r>
        <w:rPr>
          <w:rFonts w:ascii="Calibri" w:hAnsi="Calibri"/>
          <w:sz w:val="22"/>
        </w:rPr>
        <w:t>Phase 2 (2027): Formal alignment with OGC standards through a Domain Working Group or Standards Working Group, ensuring GeoMCP is compatible with and complementary to existing OGC web service standards (WPS, WFS, OGC API – Processes). GeoCard specification aligned with ISO 19115 metadata standards and STAC (SpatioTemporal Asset Catalog) community specifications. GeoTrust governance framework established with multi-stakeholder oversight.</w:t>
      </w:r>
    </w:p>
    <w:p>
      <w:r>
        <w:rPr>
          <w:rFonts w:ascii="Calibri" w:hAnsi="Calibri"/>
          <w:sz w:val="22"/>
        </w:rPr>
        <w:t>Phase 3 (2028): Multi-node federation pilots with UN agencies (UNOSAT, WFP, FAO, UNEP) and partner nations across at least three continents. Production deployments supporting real operational workflows in disaster response, SDG monitoring, and climate adaptation planning. Performance and scalability validated at global scale.</w:t>
      </w:r>
    </w:p>
    <w:p>
      <w:r>
        <w:rPr>
          <w:rFonts w:ascii="Calibri" w:hAnsi="Calibri"/>
          <w:sz w:val="22"/>
        </w:rPr>
        <w:t>Phase 4 (2029+): Establishment of a GeoNexus Open Governance body—potentially under the auspices of the UN-GGIM or a dedicated foundation—to steward the protocols as a global public good. Formal submission to ISO/TC 211 for international standardization. The governance body ensures that GeoNexus remains vendor-neutral, community-driven, and aligned with the public-good mission that motivated its creation.</w:t>
      </w:r>
    </w:p>
    <w:p>
      <w:r>
        <w:br w:type="page"/>
      </w:r>
    </w:p>
    <w:p>
      <w:pPr>
        <w:pStyle w:val="Heading1"/>
      </w:pPr>
      <w:r>
        <w:t>Part VIII — Future Directions</w:t>
      </w:r>
    </w:p>
    <w:p>
      <w:pPr>
        <w:pStyle w:val="Heading2"/>
      </w:pPr>
      <w:r>
        <w:t>24. Multi-Agent GeoAI and Autonomous Discovery</w:t>
      </w:r>
    </w:p>
    <w:p>
      <w:r>
        <w:rPr>
          <w:rFonts w:ascii="Calibri" w:hAnsi="Calibri"/>
          <w:sz w:val="22"/>
        </w:rPr>
        <w:t>The current GeoAgent architecture employs a single orchestration agent. As the ecosystem matures, this will evolve toward multi-agent collaboration: specialized agents for climate analysis, hydrological modeling, agricultural assessment, infrastructure vulnerability, and social vulnerability—each with deep domain knowledge embedded in their planning logic—coordinating through GeoMCP to execute complex, cross-domain analyses. A request to "assess climate adaptation priorities for coastal cities in West Africa" would be decomposed by a coordinating agent into sub-tasks handled by specialized agents, each contributing domain-optimized workflows, with results synthesized into an integrated assessment.</w:t>
      </w:r>
    </w:p>
    <w:p>
      <w:r>
        <w:rPr>
          <w:rFonts w:ascii="Calibri" w:hAnsi="Calibri"/>
          <w:sz w:val="22"/>
        </w:rPr>
        <w:t>Beyond responding to human queries, multi-agent GeoNexus systems will enable autonomous scientific discovery: agents continuously monitoring global data streams, detecting anomalies, formulating hypotheses about causal mechanisms, designing experiments (targeted data collection and analysis), and updating knowledge graphs with verified findings. This moves GeoNexus from a query-response system to a persistent, self-improving scientific collaborator for Earth system science—a capability that is becoming essential as the volume and velocity of Earth observation data exceeds human analytical capacity.</w:t>
      </w:r>
    </w:p>
    <w:p>
      <w:pPr>
        <w:pStyle w:val="Heading2"/>
      </w:pPr>
      <w:r>
        <w:t>25. Edge GeoAI and Real-Time Federation</w:t>
      </w:r>
    </w:p>
    <w:p>
      <w:r>
        <w:rPr>
          <w:rFonts w:ascii="Calibri" w:hAnsi="Calibri"/>
          <w:sz w:val="22"/>
        </w:rPr>
        <w:t>The next frontier of federation extends GeoNexus to the edge: running GeoSkills directly on satellites, unmanned aerial vehicles (UAVs), IoT sensor networks, and field-deployed edge computing devices. Onboard satellite processing—running a lightweight GeoSkill on a satellite's flight computer to detect flood waters or active fires and transmit only alert polygons rather than full scenes—dramatically reduces latency from hours (downlink → ground station → cloud processing) to minutes (onboard detection → direct alert broadcast). This is particularly transformative for time-critical applications such as wildfire response, flash flood warning, and maritime domain awareness.</w:t>
      </w:r>
    </w:p>
    <w:p>
      <w:r>
        <w:rPr>
          <w:rFonts w:ascii="Calibri" w:hAnsi="Calibri"/>
          <w:sz w:val="22"/>
        </w:rPr>
        <w:t>The GeoNode specification's WASM-based runtime is designed from the start to be deployable on resource-constrained edge hardware. A minimal GeoNode (Core compliance level) can run on a device with 512MB RAM and an ARM processor, executing WASM-based GeoSkills that perform inference, anomaly detection, or data compression before transmission. As satellite constellations expand (projected &gt;50,000 satellites by 2030) and IoT sensor density increases, edge-first federation becomes essential to manage the data deluge and extract actionable intelligence at the speed of relevance.</w:t>
      </w:r>
    </w:p>
    <w:p>
      <w:pPr>
        <w:pStyle w:val="Heading2"/>
      </w:pPr>
      <w:r>
        <w:t>26. Toward a Planetary Operating System for Geospatial Public Goods</w:t>
      </w:r>
    </w:p>
    <w:p>
      <w:r>
        <w:rPr>
          <w:rFonts w:ascii="Calibri" w:hAnsi="Calibri"/>
          <w:sz w:val="22"/>
        </w:rPr>
        <w:t>The ultimate horizon of GeoNexus is an open, self-organizing network of geospatial intelligence services that supports planetary stewardship—continuously monitoring the Earth system, alerting on anomalies, modeling intervention scenarios, and providing decision support in service of all humanity. This vision draws on the concept of a "Digital Twin of the Earth" as envisioned by the European Commission's Destination Earth initiative and similar programs globally, but with a critical difference: rather than being a single, centralized simulation maintained by one institution, GeoNexus enables a federated digital twin where each participating organization contributes its authoritative data and models, and the integrated picture emerges through protocol-governed interoperability rather than centralized aggregation.</w:t>
      </w:r>
    </w:p>
    <w:p>
      <w:r>
        <w:rPr>
          <w:rFonts w:ascii="Calibri" w:hAnsi="Calibri"/>
          <w:sz w:val="22"/>
        </w:rPr>
        <w:t>This is an ambitious vision. But the alternative—a world where geospatial AI capabilities are concentrated in a small number of proprietary platforms, accessible only to those with the resources to pay for them and the political alignment to be granted access—is fundamentally incompatible with the principles of the United Nations, the Sustainable Development Goals, and the concept of geospatial information as a public good. GeoNexus is an investment in a different trajectory: one where the protocols of geospatial intelligence are as open, universal, and democratized as the protocols of the World Wide Web.</w:t>
      </w:r>
    </w:p>
    <w:p>
      <w:r>
        <w:br w:type="page"/>
      </w:r>
    </w:p>
    <w:p>
      <w:pPr>
        <w:pStyle w:val="Heading1"/>
      </w:pPr>
      <w:r>
        <w:t>Conclusion</w:t>
      </w:r>
    </w:p>
    <w:p>
      <w:r>
        <w:rPr>
          <w:rFonts w:ascii="Calibri" w:hAnsi="Calibri"/>
          <w:sz w:val="22"/>
        </w:rPr>
        <w:t>GeoNexus is not merely a platform. It is a proposed open standard and federated infrastructure for global GeoAI. By separating protocols from implementations, capability semantics from data storage, and AI orchestration from monolithic GIS engines, it enables a new class of collaboration that respects sovereignty while unlocking collective intelligence.</w:t>
      </w:r>
    </w:p>
    <w:p>
      <w:r>
        <w:rPr>
          <w:rFonts w:ascii="Calibri" w:hAnsi="Calibri"/>
          <w:sz w:val="22"/>
        </w:rPr>
        <w:t>The architecture rests on three pillars of prior art, each extended for the federated geospatial domain. The CAFE distributed computing paradigm (Xu, Li, Bai et al., 2018) established that "bringing computation to data" is technically feasible and operationally superior to centralized data replication—GeoNexus generalizes this from single-organization climate science to multi-organization geospatial intelligence. The AutoGIS contract-driven agent architecture (Chen, Bai &amp; Li et al., 2025) demonstrated that structuring geospatial analysis as a contract verification problem dramatically improves AI reliability—GeoNexus extends this from single-node to federated multi-node settings. The Model Context Protocol (Anthropic, 2025) proved that minimal, open protocols can connect AI systems to external tools at scale—GeoNexus adapts this pattern to the unique requirements of geospatial data: spatial coordinate systems, temporal ranges, multi-band raster semantics, and sovereignty constraints.</w:t>
      </w:r>
    </w:p>
    <w:p>
      <w:r>
        <w:rPr>
          <w:rFonts w:ascii="Calibri" w:hAnsi="Calibri"/>
          <w:sz w:val="22"/>
        </w:rPr>
        <w:t>GeoNexus is intentionally designed as a contribution to the global commons. The protocol specifications are published under open licenses. The reference implementation is open source. The governance model is designed for multi-stakeholder stewardship. And the mission—to ensure that the AI-driven transformation of geospatial intelligence serves all nations, not just the technologically advanced few—is aligned with the founding principles of the United Nations and the 2030 Agenda for Sustainable Development.</w:t>
      </w:r>
    </w:p>
    <w:p>
      <w:r>
        <w:rPr>
          <w:rFonts w:ascii="Calibri" w:hAnsi="Calibri"/>
          <w:sz w:val="22"/>
        </w:rPr>
        <w:t>We invite the international community—governments, UN agencies, research institutions, open-source developers, non-governmental organizations, and the private sector—to join in refining, adopting, and governing the GeoNexus standards. Together, we can build an interoperable, secure, sovereign, and intelligent fabric for the next generation of geospatial public goods—one that serves as infrastructure for peace, sustainability, and human dignity in the decades ahead.</w:t>
      </w:r>
    </w:p>
    <w:p>
      <w:r>
        <w:br w:type="page"/>
      </w:r>
    </w:p>
    <w:p>
      <w:pPr>
        <w:pStyle w:val="Heading1"/>
      </w:pPr>
      <w:r>
        <w:t>Appendices</w:t>
      </w:r>
    </w:p>
    <w:p>
      <w:r>
        <w:rPr>
          <w:rFonts w:ascii="Calibri" w:hAnsi="Calibri"/>
          <w:sz w:val="22"/>
        </w:rPr>
        <w:t>The following appendices are maintained as living documents, versioned alongside the GeoNexus protocol specifications. Full current versions are available at the GeoNexus documentation repository.</w:t>
      </w:r>
    </w:p>
    <w:p>
      <w:pPr>
        <w:pStyle w:val="Heading2"/>
      </w:pPr>
      <w:r>
        <w:t>Appendix A: GeoMCP Method Definitions</w:t>
      </w:r>
    </w:p>
    <w:p>
      <w:r>
        <w:rPr>
          <w:rFonts w:ascii="Calibri" w:hAnsi="Calibri"/>
          <w:sz w:val="22"/>
        </w:rPr>
        <w:t>Complete method signatures, request/response schemas (JSON Schema), error codes, and transport binding specifications (gRPC protobuf definitions and RESTful OpenAPI specifications) for all GeoMCP methods: discover, describe, execute, status, and auxiliary methods for registry management and node health checks.</w:t>
      </w:r>
    </w:p>
    <w:p>
      <w:pPr>
        <w:pStyle w:val="Heading2"/>
      </w:pPr>
      <w:r>
        <w:t>Appendix B: GeoCard Schema Reference</w:t>
      </w:r>
    </w:p>
    <w:p>
      <w:r>
        <w:rPr>
          <w:rFonts w:ascii="Calibri" w:hAnsi="Calibri"/>
          <w:sz w:val="22"/>
        </w:rPr>
        <w:t>Full JSON Schema and YAML specification for GeoCard v1.0, including all mandatory and optional fields, controlled vocabularies for asset types and compliance classifications, spatial and temporal expression formats, and extension mechanisms for domain-specific metadata.</w:t>
      </w:r>
    </w:p>
    <w:p>
      <w:pPr>
        <w:pStyle w:val="Heading2"/>
      </w:pPr>
      <w:r>
        <w:t>Appendix C: GeoSkill Lifecycle Specification</w:t>
      </w:r>
    </w:p>
    <w:p>
      <w:r>
        <w:rPr>
          <w:rFonts w:ascii="Calibri" w:hAnsi="Calibri"/>
          <w:sz w:val="22"/>
        </w:rPr>
        <w:t>Detailed specification of the GeoSkill lifecycle: creation (scaffolding and development), validation (schema conformance and test execution), publication (registry submission and versioning), discovery (GeoCard indexing and retrieval), execution (runtime requirements and sandboxing), monitoring (telemetry and logging), and deprecation (version sunsetting and migration guidance).</w:t>
      </w:r>
    </w:p>
    <w:p>
      <w:pPr>
        <w:pStyle w:val="Heading2"/>
      </w:pPr>
      <w:r>
        <w:t>Appendix D: Reference API Definitions</w:t>
      </w:r>
    </w:p>
    <w:p>
      <w:r>
        <w:rPr>
          <w:rFonts w:ascii="Calibri" w:hAnsi="Calibri"/>
          <w:sz w:val="22"/>
        </w:rPr>
        <w:t>OpenAPI 3.1 specifications for the Reference Gateway, GeoNode GeoMCP endpoint, and GeoCard Registry API. Includes authentication flows, rate limiting headers, and example request/response pairs for common operations.</w:t>
      </w:r>
    </w:p>
    <w:p>
      <w:pPr>
        <w:pStyle w:val="Heading2"/>
      </w:pPr>
      <w:r>
        <w:t>Appendix E: Security Considerations and Threat Model</w:t>
      </w:r>
    </w:p>
    <w:p>
      <w:r>
        <w:rPr>
          <w:rFonts w:ascii="Calibri" w:hAnsi="Calibri"/>
          <w:sz w:val="22"/>
        </w:rPr>
        <w:t>Comprehensive threat model covering: adversarial GeoCards (spoofed or malicious metadata), GeoSkill supply chain attacks, data exfiltration through side channels in computation results, denial-of-service through resource exhaustion, privacy leakage through aggregate outputs, and Sybil attacks on GeoTrust reputation scores. Mitigation strategies and residual risks documented for each threat.</w:t>
      </w:r>
    </w:p>
    <w:p>
      <w:pPr>
        <w:pStyle w:val="Heading2"/>
      </w:pPr>
      <w:r>
        <w:t>Appendix F: Standards Alignment Matrix</w:t>
      </w:r>
    </w:p>
    <w:p>
      <w:r>
        <w:rPr>
          <w:rFonts w:ascii="Calibri" w:hAnsi="Calibri"/>
          <w:sz w:val="22"/>
        </w:rPr>
        <w:t>Systematic mapping of GeoNexus concepts to existing international standards: OGC (WMS, WFS, WCS, WPS, OGC API family), ISO/TC 211 (19115 metadata, 19119 services, 19142 web feature service), STAC (SpatioTemporal Asset Catalog), Cloud Native Geospatial formats (COG, Zarr, GeoParquet), and UN frameworks (IGIF, GSGF, UN Geospatial Network Blueprint). This matrix serves as the basis for formal standards alignment in Phase 2 of the standardization roadmap.</w:t>
      </w:r>
    </w:p>
    <w:p>
      <w:r>
        <w:br w:type="page"/>
      </w:r>
    </w:p>
    <w:p>
      <w:pPr>
        <w:pStyle w:val="Heading1"/>
      </w:pPr>
      <w:r>
        <w:t>References</w:t>
      </w:r>
    </w:p>
    <w:p>
      <w:pPr>
        <w:ind w:left="720" w:hanging="720"/>
      </w:pPr>
      <w:r>
        <w:rPr>
          <w:rFonts w:ascii="Calibri" w:hAnsi="Calibri"/>
          <w:sz w:val="18"/>
        </w:rPr>
        <w:t>Anthropic. (2025). Model Context Protocol: An open standard for connecting AI tools to data sources. Anthropic News.</w:t>
      </w:r>
    </w:p>
    <w:p>
      <w:pPr>
        <w:ind w:left="720" w:hanging="720"/>
      </w:pPr>
      <w:r>
        <w:rPr>
          <w:rFonts w:ascii="Calibri" w:hAnsi="Calibri"/>
          <w:sz w:val="18"/>
        </w:rPr>
        <w:t>Amiri, M., Zdun, U., &amp; van Hoorn, A. (2022). Reliability and performance modeling of dynamic routing architecture patterns in cloud and service-based settings. Journal of Systems and Software.</w:t>
      </w:r>
    </w:p>
    <w:p>
      <w:pPr>
        <w:ind w:left="720" w:hanging="720"/>
      </w:pPr>
      <w:r>
        <w:rPr>
          <w:rFonts w:ascii="Calibri" w:hAnsi="Calibri"/>
          <w:sz w:val="18"/>
        </w:rPr>
        <w:t>Bayerlein, R., et al. (2023). Accelerating Monte Carlo-based scatter correction in PET via serverless cloud computing. Medical Physics.</w:t>
      </w:r>
    </w:p>
    <w:p>
      <w:pPr>
        <w:ind w:left="720" w:hanging="720"/>
      </w:pPr>
      <w:r>
        <w:rPr>
          <w:rFonts w:ascii="Calibri" w:hAnsi="Calibri"/>
          <w:sz w:val="18"/>
        </w:rPr>
        <w:t>Cai, L. (2025). GeoFM: how will geo-foundation models reshape spatial data science and GeoAI? International Journal of Geographical Information Science.</w:t>
      </w:r>
    </w:p>
    <w:p>
      <w:pPr>
        <w:ind w:left="720" w:hanging="720"/>
      </w:pPr>
      <w:r>
        <w:rPr>
          <w:rFonts w:ascii="Calibri" w:hAnsi="Calibri"/>
          <w:sz w:val="18"/>
        </w:rPr>
        <w:t>CARTO. (2025). What is Agentic GIS and CARTO MCP Server. CARTO Blog.</w:t>
      </w:r>
    </w:p>
    <w:p>
      <w:pPr>
        <w:ind w:left="720" w:hanging="720"/>
      </w:pPr>
      <w:r>
        <w:rPr>
          <w:rFonts w:ascii="Calibri" w:hAnsi="Calibri"/>
          <w:sz w:val="18"/>
        </w:rPr>
        <w:t>Chen, J., Bai, Y., Li, S., et al. (2025). AutoGIS: Contract-Driven Autonomous GIS Agents. arXiv preprint.</w:t>
      </w:r>
    </w:p>
    <w:p>
      <w:pPr>
        <w:ind w:left="720" w:hanging="720"/>
      </w:pPr>
      <w:r>
        <w:rPr>
          <w:rFonts w:ascii="Calibri" w:hAnsi="Calibri"/>
          <w:sz w:val="18"/>
        </w:rPr>
        <w:t>Cloud Native Computing Foundation (CNCF). (2025). State of Cloud Native Development Report.</w:t>
      </w:r>
    </w:p>
    <w:p>
      <w:pPr>
        <w:ind w:left="720" w:hanging="720"/>
      </w:pPr>
      <w:r>
        <w:rPr>
          <w:rFonts w:ascii="Calibri" w:hAnsi="Calibri"/>
          <w:sz w:val="18"/>
        </w:rPr>
        <w:t>De Sabbata, S., Mizzaro, S., &amp; Roitero, K. (2025). Geospatial Mechanistic Interpretability of Large Language Models. arXiv preprint arXiv:2505.03368.</w:t>
      </w:r>
    </w:p>
    <w:p>
      <w:pPr>
        <w:ind w:left="720" w:hanging="720"/>
      </w:pPr>
      <w:r>
        <w:rPr>
          <w:rFonts w:ascii="Calibri" w:hAnsi="Calibri"/>
          <w:sz w:val="18"/>
        </w:rPr>
        <w:t>European Commission. (2024). Destination Earth: Digital Twins of the Earth System. Directorate-General for Communications Networks, Content and Technology.</w:t>
      </w:r>
    </w:p>
    <w:p>
      <w:pPr>
        <w:ind w:left="720" w:hanging="720"/>
      </w:pPr>
      <w:r>
        <w:rPr>
          <w:rFonts w:ascii="Calibri" w:hAnsi="Calibri"/>
          <w:sz w:val="18"/>
        </w:rPr>
        <w:t>Geonovum. (2025). Minimal Interoperability Mechanisms (MIMs) — Places Specification. Geonovum Standards.</w:t>
      </w:r>
    </w:p>
    <w:p>
      <w:pPr>
        <w:ind w:left="720" w:hanging="720"/>
      </w:pPr>
      <w:r>
        <w:rPr>
          <w:rFonts w:ascii="Calibri" w:hAnsi="Calibri"/>
          <w:sz w:val="18"/>
        </w:rPr>
        <w:t>Guo, X., Lao, J., Dang, B., et al. (2024). SkySense: A Multi-Modal Remote Sensing Foundation Model Towards Universal Interpretation for Earth Observation Imagery. CVPR.</w:t>
      </w:r>
    </w:p>
    <w:p>
      <w:pPr>
        <w:ind w:left="720" w:hanging="720"/>
      </w:pPr>
      <w:r>
        <w:rPr>
          <w:rFonts w:ascii="Calibri" w:hAnsi="Calibri"/>
          <w:sz w:val="18"/>
        </w:rPr>
        <w:t>Hinchcliffe, D., &amp; Patience, N. (2025). Rise of Agentic AI: Leading Solutions Transforming Enterprise Workflows in 2025. Futurum Research.</w:t>
      </w:r>
    </w:p>
    <w:p>
      <w:pPr>
        <w:ind w:left="720" w:hanging="720"/>
      </w:pPr>
      <w:r>
        <w:rPr>
          <w:rFonts w:ascii="Calibri" w:hAnsi="Calibri"/>
          <w:sz w:val="18"/>
        </w:rPr>
        <w:t>Hou, Y., et al. (2024). Design and application of a semantic-driven geospatial modeling knowledge graph based on LLMs. International Journal of Digital Earth.</w:t>
      </w:r>
    </w:p>
    <w:p>
      <w:pPr>
        <w:ind w:left="720" w:hanging="720"/>
      </w:pPr>
      <w:r>
        <w:rPr>
          <w:rFonts w:ascii="Calibri" w:hAnsi="Calibri"/>
          <w:sz w:val="18"/>
        </w:rPr>
        <w:t>Lin, Q., Hu, R., Li, H., et al. (2026). GeoJSON agents: A Multi-Agent Large Language Model Framework for Automated Geospatial Analysis. International Journal of Digital Earth.</w:t>
      </w:r>
    </w:p>
    <w:p>
      <w:pPr>
        <w:ind w:left="720" w:hanging="720"/>
      </w:pPr>
      <w:r>
        <w:rPr>
          <w:rFonts w:ascii="Calibri" w:hAnsi="Calibri"/>
          <w:sz w:val="18"/>
        </w:rPr>
        <w:t>Mansourian, A., &amp; Oucheikh, R. (2024). Chatgeoai: Enabling Geospatial Analysis for Public Through Natural Language, With Large Language Models. ISPRS International Journal of Geo-Information.</w:t>
      </w:r>
    </w:p>
    <w:p>
      <w:pPr>
        <w:ind w:left="720" w:hanging="720"/>
      </w:pPr>
      <w:r>
        <w:rPr>
          <w:rFonts w:ascii="Calibri" w:hAnsi="Calibri"/>
          <w:sz w:val="18"/>
        </w:rPr>
        <w:t>Mapbox. (2025). Introducing the Mapbox Model Context Protocol (MCP) Server. Mapbox Blog.</w:t>
      </w:r>
    </w:p>
    <w:p>
      <w:pPr>
        <w:ind w:left="720" w:hanging="720"/>
      </w:pPr>
      <w:r>
        <w:rPr>
          <w:rFonts w:ascii="Calibri" w:hAnsi="Calibri"/>
          <w:sz w:val="18"/>
        </w:rPr>
        <w:t>Open Geospatial Consortium. (2024). OGC API — Processes — Part 1: Core. OGC Standard 18-062r2.</w:t>
      </w:r>
    </w:p>
    <w:p>
      <w:pPr>
        <w:ind w:left="720" w:hanging="720"/>
      </w:pPr>
      <w:r>
        <w:rPr>
          <w:rFonts w:ascii="Calibri" w:hAnsi="Calibri"/>
          <w:sz w:val="18"/>
        </w:rPr>
        <w:t>United Nations Committee of Experts on Global Geospatial Information Management. (2022). Future Trends in Geospatial Information Management: The Five to Ten Year Vision. UN-GGIM.</w:t>
      </w:r>
    </w:p>
    <w:p>
      <w:pPr>
        <w:ind w:left="720" w:hanging="720"/>
      </w:pPr>
      <w:r>
        <w:rPr>
          <w:rFonts w:ascii="Calibri" w:hAnsi="Calibri"/>
          <w:sz w:val="18"/>
        </w:rPr>
        <w:t>United Nations Conference on Trade and Development (UNCTAD). (2024). The AI Divide and the Global South. UN Reports.</w:t>
      </w:r>
    </w:p>
    <w:p>
      <w:pPr>
        <w:ind w:left="720" w:hanging="720"/>
      </w:pPr>
      <w:r>
        <w:rPr>
          <w:rFonts w:ascii="Calibri" w:hAnsi="Calibri"/>
          <w:sz w:val="18"/>
        </w:rPr>
        <w:t>United Nations. (2023). UN Secretary-General's Data Strategy: Data Sovereignty with Interoperability. United Nations Executive Office of the Secretary-General.</w:t>
      </w:r>
    </w:p>
    <w:p>
      <w:pPr>
        <w:ind w:left="720" w:hanging="720"/>
      </w:pPr>
      <w:r>
        <w:rPr>
          <w:rFonts w:ascii="Calibri" w:hAnsi="Calibri"/>
          <w:sz w:val="18"/>
        </w:rPr>
        <w:t>World Meteorological Organization. (2023). Atlas of Mortality and Economic Losses from Weather, Climate and Water Extremes (1970-2022). WMO.</w:t>
      </w:r>
    </w:p>
    <w:p>
      <w:pPr>
        <w:ind w:left="720" w:hanging="720"/>
      </w:pPr>
      <w:r>
        <w:rPr>
          <w:rFonts w:ascii="Calibri" w:hAnsi="Calibri"/>
          <w:sz w:val="18"/>
        </w:rPr>
        <w:t>Xu, L., Li, S., Bai, Y., et al. (2018). CAFE: A Collaborative Analysis Framework for gridded Environmental data. Environmental Modelling &amp; Software, 111: 324-339.</w:t>
      </w:r>
    </w:p>
    <w:p>
      <w:pPr>
        <w:ind w:left="720" w:hanging="720"/>
      </w:pPr>
      <w:r>
        <w:rPr>
          <w:rFonts w:ascii="Calibri" w:hAnsi="Calibri"/>
          <w:sz w:val="18"/>
        </w:rPr>
        <w:t>Xui, H., et al. (2024). On the Evolution of Knowledge Graphs: A Survey and Perspective. IEEE Transactions on Knowledge and Data Engineering.</w:t>
      </w:r>
    </w:p>
    <w:p>
      <w:pPr>
        <w:ind w:left="720" w:hanging="720"/>
      </w:pPr>
      <w:r>
        <w:rPr>
          <w:rFonts w:ascii="Calibri" w:hAnsi="Calibri"/>
          <w:sz w:val="18"/>
        </w:rPr>
        <w:t>Zhang, Y., Ru, L., Wu, K., et al. (2025). SkySense++: A Semantic-Enhanced Multi-Modal Remote Sensing Foundation Model Beyond SkySense for Earth Observation. Nature Machine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0"/>
      <w:contextualSpacing/>
    </w:pPr>
    <w:rPr>
      <w:rFonts w:asciiTheme="majorHAnsi" w:eastAsiaTheme="majorEastAsia" w:hAnsiTheme="majorHAnsi" w:cstheme="majorBidi" w:ascii="Calibri" w:hAnsi="Calibri"/>
      <w:b/>
      <w:color w:val="1B2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