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  <w:t>Abstract: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To help Chinese graduate students in their English academic writing courses,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paper compare the current linguistic diffrences which often occur in abstracts written by native English scientists and Chinese scientists.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paper discusses the occasions where abstracts appear and explores the most common structure of abstracts.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 order to further explore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paper adopts the following research methods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First,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 sample collection,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paper draws random sample abstracts from 20 different fields including fields in theoretical,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applied natural sciences,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social sciences,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medical science,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and economy,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and two authentic total English abstracts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(EA)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and English translated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into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Chinese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(TA)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abstracts on similar topics are selected for each field.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Second,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 data collection and data processing,this paper uses Bhatia's model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(each abstract divided into four sections following according to this model and different used to distinguish the different sections: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red for introductions,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black for methods,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green for results,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and blue for conclusions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and SPSS data analysis method.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 addition,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by contrastive analysis between between Ta and Ea,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this paper also finds that EA uses the passive voice much more than TA does.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One possible reason for this outcome may be negative transfer,and another possible reason may be the different concepts about the doer of the doer of an event.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Of course,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When applying these research methods, we also do variable control.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In summary,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the possible causes of the outcomes found by this paper need to be studied further.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Well-prepared course materials and sufficient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specific data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not only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help graduate students understand the differences in language in writing,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but also aid them in learning the subtle meanings revealed by English texts.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/>
        </w:rPr>
        <w:t>Key words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: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apers’abstracts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inguistic diffrences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academic writing</w:t>
      </w:r>
    </w:p>
    <w:p>
      <w:pPr>
        <w:rPr>
          <w:rFonts w:ascii="宋体" w:hAnsi="宋体" w:eastAsia="宋体"/>
          <w:sz w:val="28"/>
          <w:szCs w:val="28"/>
          <w:lang w:val="en-US"/>
        </w:rPr>
      </w:pPr>
    </w:p>
    <w:p>
      <w:pPr>
        <w:rPr>
          <w:rFonts w:asci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0M2YyMzg2MzM3N2VlNGNmYjM4YjI2ZTNhNjgyYmEifQ=="/>
  </w:docVars>
  <w:rsids>
    <w:rsidRoot w:val="00000000"/>
    <w:rsid w:val="1B7A32A3"/>
    <w:rsid w:val="208A7D90"/>
    <w:rsid w:val="35AC60C2"/>
    <w:rsid w:val="7BA268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278</Words>
  <Characters>1585</Characters>
  <Paragraphs>6</Paragraphs>
  <TotalTime>6</TotalTime>
  <ScaleCrop>false</ScaleCrop>
  <LinksUpToDate>false</LinksUpToDate>
  <CharactersWithSpaces>1858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2024-06-23T02:44:00Z</dcterms:created>
  <dc:creator>DBR-W10</dc:creator>
  <cp:lastModifiedBy>ciao amore</cp:lastModifiedBy>
  <dcterms:modified xsi:type="dcterms:W3CDTF">2024-06-28T03:14:37Z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55210AD18D494F96A8D5E72431FEB455_13</vt:lpwstr>
  </property>
  <property fmtid="{D5CDD505-2E9C-101B-9397-08002B2CF9AE}" pid="3" name="KSOProductBuildVer">
    <vt:lpwstr>2052-12.1.0.16929</vt:lpwstr>
  </property>
</Properties>
</file>