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4CA8D">
      <w:pPr>
        <w:jc w:val="center"/>
        <w:rPr>
          <w:rFonts w:hint="default"/>
          <w:lang w:val="en-US"/>
        </w:rPr>
      </w:pPr>
      <w:r>
        <w:rPr>
          <w:b/>
          <w:sz w:val="30"/>
        </w:rPr>
        <w:t xml:space="preserve"> DENTAL CARIES</w:t>
      </w:r>
      <w:r>
        <w:rPr>
          <w:rFonts w:hint="default"/>
          <w:b/>
          <w:sz w:val="30"/>
          <w:lang w:val="en-US"/>
        </w:rPr>
        <w:t>-MODULE 5</w:t>
      </w:r>
      <w:bookmarkStart w:id="0" w:name="_GoBack"/>
      <w:bookmarkEnd w:id="0"/>
    </w:p>
    <w:p w14:paraId="0FAE3588">
      <w:pPr>
        <w:jc w:val="center"/>
      </w:pPr>
      <w:r>
        <w:rPr>
          <w:b/>
          <w:sz w:val="24"/>
        </w:rPr>
        <w:t>Vocabulary va Smart Phrasebook</w:t>
      </w:r>
    </w:p>
    <w:p w14:paraId="23DAF721">
      <w:pPr>
        <w:spacing w:after="120"/>
      </w:pPr>
      <w:r>
        <w:t>Maqsad: talaba dental caries bilan murojaat qilgan bemorning asosiy shikoyati, tish sezuvchanligi, kariyes belgilari, sabablar, tekshiruv, plomba bilan davolash va keyingi tavsiyalar haqida ingliz tilida savollar bera olishi va bemorning javoblarini tushunishi lozim.</w:t>
      </w:r>
    </w:p>
    <w:p w14:paraId="32333842">
      <w:pPr>
        <w:pStyle w:val="3"/>
      </w:pPr>
      <w:r>
        <w:t>1. VOCABULARY — Dental Caries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60053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Pr>
          <w:p w14:paraId="75F67098">
            <w:pPr>
              <w:spacing w:after="0" w:line="240" w:lineRule="auto"/>
            </w:pPr>
            <w:r>
              <w:t>English</w:t>
            </w:r>
          </w:p>
        </w:tc>
        <w:tc>
          <w:tcPr>
            <w:tcW w:w="2664" w:type="dxa"/>
          </w:tcPr>
          <w:p w14:paraId="42610A31">
            <w:pPr>
              <w:spacing w:after="0" w:line="240" w:lineRule="auto"/>
            </w:pPr>
            <w:r>
              <w:t>Talaffuzi</w:t>
            </w:r>
          </w:p>
        </w:tc>
        <w:tc>
          <w:tcPr>
            <w:tcW w:w="2664" w:type="dxa"/>
          </w:tcPr>
          <w:p w14:paraId="4BBAA2FE">
            <w:pPr>
              <w:spacing w:after="0" w:line="240" w:lineRule="auto"/>
            </w:pPr>
            <w:r>
              <w:t>O‘zbekcha</w:t>
            </w:r>
          </w:p>
        </w:tc>
        <w:tc>
          <w:tcPr>
            <w:tcW w:w="2664" w:type="dxa"/>
          </w:tcPr>
          <w:p w14:paraId="3DC99760">
            <w:pPr>
              <w:spacing w:after="0" w:line="240" w:lineRule="auto"/>
            </w:pPr>
            <w:r>
              <w:t>Русский</w:t>
            </w:r>
          </w:p>
        </w:tc>
      </w:tr>
      <w:tr w14:paraId="09610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1534EA73">
            <w:pPr>
              <w:spacing w:after="0" w:line="240" w:lineRule="auto"/>
            </w:pPr>
            <w:r>
              <w:t>dental caries</w:t>
            </w:r>
          </w:p>
        </w:tc>
        <w:tc>
          <w:tcPr>
            <w:tcW w:w="2664" w:type="dxa"/>
            <w:vAlign w:val="center"/>
          </w:tcPr>
          <w:p w14:paraId="5CE79009">
            <w:pPr>
              <w:spacing w:after="0" w:line="240" w:lineRule="auto"/>
            </w:pPr>
            <w:r>
              <w:t>/ˈdentl ˈkeəriːz/</w:t>
            </w:r>
          </w:p>
        </w:tc>
        <w:tc>
          <w:tcPr>
            <w:tcW w:w="2664" w:type="dxa"/>
            <w:vAlign w:val="center"/>
          </w:tcPr>
          <w:p w14:paraId="7EF25828">
            <w:pPr>
              <w:spacing w:after="0" w:line="240" w:lineRule="auto"/>
            </w:pPr>
            <w:r>
              <w:t>tish kariyesi</w:t>
            </w:r>
          </w:p>
        </w:tc>
        <w:tc>
          <w:tcPr>
            <w:tcW w:w="2664" w:type="dxa"/>
            <w:vAlign w:val="center"/>
          </w:tcPr>
          <w:p w14:paraId="452E447E">
            <w:pPr>
              <w:spacing w:after="0" w:line="240" w:lineRule="auto"/>
            </w:pPr>
            <w:r>
              <w:t>кариес зубов</w:t>
            </w:r>
          </w:p>
        </w:tc>
      </w:tr>
      <w:tr w14:paraId="51889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17F58ADC">
            <w:pPr>
              <w:spacing w:after="0" w:line="240" w:lineRule="auto"/>
            </w:pPr>
            <w:r>
              <w:t>tooth decay</w:t>
            </w:r>
          </w:p>
        </w:tc>
        <w:tc>
          <w:tcPr>
            <w:tcW w:w="2664" w:type="dxa"/>
            <w:vAlign w:val="center"/>
          </w:tcPr>
          <w:p w14:paraId="32D4B163">
            <w:pPr>
              <w:spacing w:after="0" w:line="240" w:lineRule="auto"/>
            </w:pPr>
            <w:r>
              <w:t>/tuːθ dɪˈkeɪ/</w:t>
            </w:r>
          </w:p>
        </w:tc>
        <w:tc>
          <w:tcPr>
            <w:tcW w:w="2664" w:type="dxa"/>
            <w:vAlign w:val="center"/>
          </w:tcPr>
          <w:p w14:paraId="78A18255">
            <w:pPr>
              <w:spacing w:after="0" w:line="240" w:lineRule="auto"/>
            </w:pPr>
            <w:r>
              <w:t>tishning chirishi / kariyes</w:t>
            </w:r>
          </w:p>
        </w:tc>
        <w:tc>
          <w:tcPr>
            <w:tcW w:w="2664" w:type="dxa"/>
            <w:vAlign w:val="center"/>
          </w:tcPr>
          <w:p w14:paraId="29A7EE19">
            <w:pPr>
              <w:spacing w:after="0" w:line="240" w:lineRule="auto"/>
            </w:pPr>
            <w:r>
              <w:t>кариес / разрушение зуба</w:t>
            </w:r>
          </w:p>
        </w:tc>
      </w:tr>
      <w:tr w14:paraId="6D56E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B082C10">
            <w:pPr>
              <w:spacing w:after="0" w:line="240" w:lineRule="auto"/>
            </w:pPr>
            <w:r>
              <w:t>tooth sensitivity</w:t>
            </w:r>
          </w:p>
        </w:tc>
        <w:tc>
          <w:tcPr>
            <w:tcW w:w="2664" w:type="dxa"/>
            <w:vAlign w:val="center"/>
          </w:tcPr>
          <w:p w14:paraId="15F56DA7">
            <w:pPr>
              <w:spacing w:after="0" w:line="240" w:lineRule="auto"/>
            </w:pPr>
            <w:r>
              <w:t>/tuːθ ˌsensəˈtɪvəti/</w:t>
            </w:r>
          </w:p>
        </w:tc>
        <w:tc>
          <w:tcPr>
            <w:tcW w:w="2664" w:type="dxa"/>
            <w:vAlign w:val="center"/>
          </w:tcPr>
          <w:p w14:paraId="46FC828A">
            <w:pPr>
              <w:spacing w:after="0" w:line="240" w:lineRule="auto"/>
            </w:pPr>
            <w:r>
              <w:t>tish sezuvchanligi</w:t>
            </w:r>
          </w:p>
        </w:tc>
        <w:tc>
          <w:tcPr>
            <w:tcW w:w="2664" w:type="dxa"/>
            <w:vAlign w:val="center"/>
          </w:tcPr>
          <w:p w14:paraId="42DC9984">
            <w:pPr>
              <w:spacing w:after="0" w:line="240" w:lineRule="auto"/>
            </w:pPr>
            <w:r>
              <w:t>чувствительность зуба</w:t>
            </w:r>
          </w:p>
        </w:tc>
      </w:tr>
      <w:tr w14:paraId="0240B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D04B395">
            <w:pPr>
              <w:spacing w:after="0" w:line="240" w:lineRule="auto"/>
            </w:pPr>
            <w:r>
              <w:t>molar</w:t>
            </w:r>
          </w:p>
        </w:tc>
        <w:tc>
          <w:tcPr>
            <w:tcW w:w="2664" w:type="dxa"/>
            <w:vAlign w:val="center"/>
          </w:tcPr>
          <w:p w14:paraId="5C7D06DB">
            <w:pPr>
              <w:spacing w:after="0" w:line="240" w:lineRule="auto"/>
            </w:pPr>
            <w:r>
              <w:t>/ˈməʊlə/</w:t>
            </w:r>
          </w:p>
        </w:tc>
        <w:tc>
          <w:tcPr>
            <w:tcW w:w="2664" w:type="dxa"/>
            <w:vAlign w:val="center"/>
          </w:tcPr>
          <w:p w14:paraId="031FB36D">
            <w:pPr>
              <w:spacing w:after="0" w:line="240" w:lineRule="auto"/>
            </w:pPr>
            <w:r>
              <w:t>katta oziq tish / molyar</w:t>
            </w:r>
          </w:p>
        </w:tc>
        <w:tc>
          <w:tcPr>
            <w:tcW w:w="2664" w:type="dxa"/>
            <w:vAlign w:val="center"/>
          </w:tcPr>
          <w:p w14:paraId="08A91EF0">
            <w:pPr>
              <w:spacing w:after="0" w:line="240" w:lineRule="auto"/>
            </w:pPr>
            <w:r>
              <w:t>коренной зуб</w:t>
            </w:r>
          </w:p>
        </w:tc>
      </w:tr>
      <w:tr w14:paraId="1B33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0D222668">
            <w:pPr>
              <w:spacing w:after="0" w:line="240" w:lineRule="auto"/>
            </w:pPr>
            <w:r>
              <w:t>cavity</w:t>
            </w:r>
          </w:p>
        </w:tc>
        <w:tc>
          <w:tcPr>
            <w:tcW w:w="2664" w:type="dxa"/>
            <w:vAlign w:val="center"/>
          </w:tcPr>
          <w:p w14:paraId="7D13EA7F">
            <w:pPr>
              <w:spacing w:after="0" w:line="240" w:lineRule="auto"/>
            </w:pPr>
            <w:r>
              <w:t>/ˈkævəti/</w:t>
            </w:r>
          </w:p>
        </w:tc>
        <w:tc>
          <w:tcPr>
            <w:tcW w:w="2664" w:type="dxa"/>
            <w:vAlign w:val="center"/>
          </w:tcPr>
          <w:p w14:paraId="7440D7BA">
            <w:pPr>
              <w:spacing w:after="0" w:line="240" w:lineRule="auto"/>
            </w:pPr>
            <w:r>
              <w:t>kariyes o‘chog‘i / kovak</w:t>
            </w:r>
          </w:p>
        </w:tc>
        <w:tc>
          <w:tcPr>
            <w:tcW w:w="2664" w:type="dxa"/>
            <w:vAlign w:val="center"/>
          </w:tcPr>
          <w:p w14:paraId="3DB86A8E">
            <w:pPr>
              <w:spacing w:after="0" w:line="240" w:lineRule="auto"/>
            </w:pPr>
            <w:r>
              <w:t>кариозная полость</w:t>
            </w:r>
          </w:p>
        </w:tc>
      </w:tr>
      <w:tr w14:paraId="7BFD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A4349D6">
            <w:pPr>
              <w:spacing w:after="0" w:line="240" w:lineRule="auto"/>
            </w:pPr>
            <w:r>
              <w:t>discoloration</w:t>
            </w:r>
          </w:p>
        </w:tc>
        <w:tc>
          <w:tcPr>
            <w:tcW w:w="2664" w:type="dxa"/>
            <w:vAlign w:val="center"/>
          </w:tcPr>
          <w:p w14:paraId="33CD71A4">
            <w:pPr>
              <w:spacing w:after="0" w:line="240" w:lineRule="auto"/>
            </w:pPr>
            <w:r>
              <w:t>/ˌdɪskələˈreɪʃən/</w:t>
            </w:r>
          </w:p>
        </w:tc>
        <w:tc>
          <w:tcPr>
            <w:tcW w:w="2664" w:type="dxa"/>
            <w:vAlign w:val="center"/>
          </w:tcPr>
          <w:p w14:paraId="1807192E">
            <w:pPr>
              <w:spacing w:after="0" w:line="240" w:lineRule="auto"/>
            </w:pPr>
            <w:r>
              <w:t>rang o‘zgarishi</w:t>
            </w:r>
          </w:p>
        </w:tc>
        <w:tc>
          <w:tcPr>
            <w:tcW w:w="2664" w:type="dxa"/>
            <w:vAlign w:val="center"/>
          </w:tcPr>
          <w:p w14:paraId="3A9548FD">
            <w:pPr>
              <w:spacing w:after="0" w:line="240" w:lineRule="auto"/>
            </w:pPr>
            <w:r>
              <w:t>изменение цвета</w:t>
            </w:r>
          </w:p>
        </w:tc>
      </w:tr>
      <w:tr w14:paraId="63AF2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0D4D2AE9">
            <w:pPr>
              <w:spacing w:after="0" w:line="240" w:lineRule="auto"/>
            </w:pPr>
            <w:r>
              <w:t>tender</w:t>
            </w:r>
          </w:p>
        </w:tc>
        <w:tc>
          <w:tcPr>
            <w:tcW w:w="2664" w:type="dxa"/>
            <w:vAlign w:val="center"/>
          </w:tcPr>
          <w:p w14:paraId="2D9E3190">
            <w:pPr>
              <w:spacing w:after="0" w:line="240" w:lineRule="auto"/>
            </w:pPr>
            <w:r>
              <w:t>/ˈtendə/</w:t>
            </w:r>
          </w:p>
        </w:tc>
        <w:tc>
          <w:tcPr>
            <w:tcW w:w="2664" w:type="dxa"/>
            <w:vAlign w:val="center"/>
          </w:tcPr>
          <w:p w14:paraId="471B1852">
            <w:pPr>
              <w:spacing w:after="0" w:line="240" w:lineRule="auto"/>
            </w:pPr>
            <w:r>
              <w:t>bosganda og‘riqli / sezgir</w:t>
            </w:r>
          </w:p>
        </w:tc>
        <w:tc>
          <w:tcPr>
            <w:tcW w:w="2664" w:type="dxa"/>
            <w:vAlign w:val="center"/>
          </w:tcPr>
          <w:p w14:paraId="1E4C22DD">
            <w:pPr>
              <w:spacing w:after="0" w:line="240" w:lineRule="auto"/>
            </w:pPr>
            <w:r>
              <w:t>болезненный при надавливании</w:t>
            </w:r>
          </w:p>
        </w:tc>
      </w:tr>
      <w:tr w14:paraId="360B7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E5C4BEE">
            <w:pPr>
              <w:spacing w:after="0" w:line="240" w:lineRule="auto"/>
            </w:pPr>
            <w:r>
              <w:t>decay</w:t>
            </w:r>
          </w:p>
        </w:tc>
        <w:tc>
          <w:tcPr>
            <w:tcW w:w="2664" w:type="dxa"/>
            <w:vAlign w:val="center"/>
          </w:tcPr>
          <w:p w14:paraId="15C60002">
            <w:pPr>
              <w:spacing w:after="0" w:line="240" w:lineRule="auto"/>
            </w:pPr>
            <w:r>
              <w:t>/dɪˈkeɪ/</w:t>
            </w:r>
          </w:p>
        </w:tc>
        <w:tc>
          <w:tcPr>
            <w:tcW w:w="2664" w:type="dxa"/>
            <w:vAlign w:val="center"/>
          </w:tcPr>
          <w:p w14:paraId="3F587A59">
            <w:pPr>
              <w:spacing w:after="0" w:line="240" w:lineRule="auto"/>
            </w:pPr>
            <w:r>
              <w:t>kariyes / yemirilish</w:t>
            </w:r>
          </w:p>
        </w:tc>
        <w:tc>
          <w:tcPr>
            <w:tcW w:w="2664" w:type="dxa"/>
            <w:vAlign w:val="center"/>
          </w:tcPr>
          <w:p w14:paraId="2CFC5A82">
            <w:pPr>
              <w:spacing w:after="0" w:line="240" w:lineRule="auto"/>
            </w:pPr>
            <w:r>
              <w:t>кариес / разрушение</w:t>
            </w:r>
          </w:p>
        </w:tc>
      </w:tr>
      <w:tr w14:paraId="0799E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727028F">
            <w:pPr>
              <w:spacing w:after="0" w:line="240" w:lineRule="auto"/>
            </w:pPr>
            <w:r>
              <w:t>enamel</w:t>
            </w:r>
          </w:p>
        </w:tc>
        <w:tc>
          <w:tcPr>
            <w:tcW w:w="2664" w:type="dxa"/>
            <w:vAlign w:val="center"/>
          </w:tcPr>
          <w:p w14:paraId="7A601598">
            <w:pPr>
              <w:spacing w:after="0" w:line="240" w:lineRule="auto"/>
            </w:pPr>
            <w:r>
              <w:t>/ɪˈnæməl/</w:t>
            </w:r>
          </w:p>
        </w:tc>
        <w:tc>
          <w:tcPr>
            <w:tcW w:w="2664" w:type="dxa"/>
            <w:vAlign w:val="center"/>
          </w:tcPr>
          <w:p w14:paraId="33A54936">
            <w:pPr>
              <w:spacing w:after="0" w:line="240" w:lineRule="auto"/>
            </w:pPr>
            <w:r>
              <w:t>tish emali</w:t>
            </w:r>
          </w:p>
        </w:tc>
        <w:tc>
          <w:tcPr>
            <w:tcW w:w="2664" w:type="dxa"/>
            <w:vAlign w:val="center"/>
          </w:tcPr>
          <w:p w14:paraId="31FE971C">
            <w:pPr>
              <w:spacing w:after="0" w:line="240" w:lineRule="auto"/>
            </w:pPr>
            <w:r>
              <w:t>зубная эмаль</w:t>
            </w:r>
          </w:p>
        </w:tc>
      </w:tr>
      <w:tr w14:paraId="1E60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3DA272C">
            <w:pPr>
              <w:spacing w:after="0" w:line="240" w:lineRule="auto"/>
            </w:pPr>
            <w:r>
              <w:t>sugary foods</w:t>
            </w:r>
          </w:p>
        </w:tc>
        <w:tc>
          <w:tcPr>
            <w:tcW w:w="2664" w:type="dxa"/>
            <w:vAlign w:val="center"/>
          </w:tcPr>
          <w:p w14:paraId="46DE4B34">
            <w:pPr>
              <w:spacing w:after="0" w:line="240" w:lineRule="auto"/>
            </w:pPr>
            <w:r>
              <w:t>/ˈʃʊɡəri fuːdz/</w:t>
            </w:r>
          </w:p>
        </w:tc>
        <w:tc>
          <w:tcPr>
            <w:tcW w:w="2664" w:type="dxa"/>
            <w:vAlign w:val="center"/>
          </w:tcPr>
          <w:p w14:paraId="6B8842BE">
            <w:pPr>
              <w:spacing w:after="0" w:line="240" w:lineRule="auto"/>
            </w:pPr>
            <w:r>
              <w:t>shirin mahsulotlar</w:t>
            </w:r>
          </w:p>
        </w:tc>
        <w:tc>
          <w:tcPr>
            <w:tcW w:w="2664" w:type="dxa"/>
            <w:vAlign w:val="center"/>
          </w:tcPr>
          <w:p w14:paraId="28221280">
            <w:pPr>
              <w:spacing w:after="0" w:line="240" w:lineRule="auto"/>
            </w:pPr>
            <w:r>
              <w:t>сладкие продукты</w:t>
            </w:r>
          </w:p>
        </w:tc>
      </w:tr>
      <w:tr w14:paraId="2CF12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0C0C4C2D">
            <w:pPr>
              <w:spacing w:after="0" w:line="240" w:lineRule="auto"/>
            </w:pPr>
            <w:r>
              <w:t>fluoride</w:t>
            </w:r>
          </w:p>
        </w:tc>
        <w:tc>
          <w:tcPr>
            <w:tcW w:w="2664" w:type="dxa"/>
            <w:vAlign w:val="center"/>
          </w:tcPr>
          <w:p w14:paraId="09E74ED5">
            <w:pPr>
              <w:spacing w:after="0" w:line="240" w:lineRule="auto"/>
            </w:pPr>
            <w:r>
              <w:t>/ˈflʊəraɪd/</w:t>
            </w:r>
          </w:p>
        </w:tc>
        <w:tc>
          <w:tcPr>
            <w:tcW w:w="2664" w:type="dxa"/>
            <w:vAlign w:val="center"/>
          </w:tcPr>
          <w:p w14:paraId="215CEBA0">
            <w:pPr>
              <w:spacing w:after="0" w:line="240" w:lineRule="auto"/>
            </w:pPr>
            <w:r>
              <w:t>ftor</w:t>
            </w:r>
          </w:p>
        </w:tc>
        <w:tc>
          <w:tcPr>
            <w:tcW w:w="2664" w:type="dxa"/>
            <w:vAlign w:val="center"/>
          </w:tcPr>
          <w:p w14:paraId="742C01BA">
            <w:pPr>
              <w:spacing w:after="0" w:line="240" w:lineRule="auto"/>
            </w:pPr>
            <w:r>
              <w:t>фтор</w:t>
            </w:r>
          </w:p>
        </w:tc>
      </w:tr>
      <w:tr w14:paraId="345E7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6699D73">
            <w:pPr>
              <w:spacing w:after="0" w:line="240" w:lineRule="auto"/>
            </w:pPr>
            <w:r>
              <w:t>oral hygiene</w:t>
            </w:r>
          </w:p>
        </w:tc>
        <w:tc>
          <w:tcPr>
            <w:tcW w:w="2664" w:type="dxa"/>
            <w:vAlign w:val="center"/>
          </w:tcPr>
          <w:p w14:paraId="6231272A">
            <w:pPr>
              <w:spacing w:after="0" w:line="240" w:lineRule="auto"/>
            </w:pPr>
            <w:r>
              <w:t>/ˈɔːrəl ˈhaɪdʒiːn/</w:t>
            </w:r>
          </w:p>
        </w:tc>
        <w:tc>
          <w:tcPr>
            <w:tcW w:w="2664" w:type="dxa"/>
            <w:vAlign w:val="center"/>
          </w:tcPr>
          <w:p w14:paraId="050080F5">
            <w:pPr>
              <w:spacing w:after="0" w:line="240" w:lineRule="auto"/>
            </w:pPr>
            <w:r>
              <w:t>og‘iz gigiyenasi</w:t>
            </w:r>
          </w:p>
        </w:tc>
        <w:tc>
          <w:tcPr>
            <w:tcW w:w="2664" w:type="dxa"/>
            <w:vAlign w:val="center"/>
          </w:tcPr>
          <w:p w14:paraId="3A15E497">
            <w:pPr>
              <w:spacing w:after="0" w:line="240" w:lineRule="auto"/>
            </w:pPr>
            <w:r>
              <w:t>гигиена полости рта</w:t>
            </w:r>
          </w:p>
        </w:tc>
      </w:tr>
      <w:tr w14:paraId="3249C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A8C5223">
            <w:pPr>
              <w:spacing w:after="0" w:line="240" w:lineRule="auto"/>
            </w:pPr>
            <w:r>
              <w:t>filling</w:t>
            </w:r>
          </w:p>
        </w:tc>
        <w:tc>
          <w:tcPr>
            <w:tcW w:w="2664" w:type="dxa"/>
            <w:vAlign w:val="center"/>
          </w:tcPr>
          <w:p w14:paraId="6809D864">
            <w:pPr>
              <w:spacing w:after="0" w:line="240" w:lineRule="auto"/>
            </w:pPr>
            <w:r>
              <w:t>/ˈfɪlɪŋ/</w:t>
            </w:r>
          </w:p>
        </w:tc>
        <w:tc>
          <w:tcPr>
            <w:tcW w:w="2664" w:type="dxa"/>
            <w:vAlign w:val="center"/>
          </w:tcPr>
          <w:p w14:paraId="4335029F">
            <w:pPr>
              <w:spacing w:after="0" w:line="240" w:lineRule="auto"/>
            </w:pPr>
            <w:r>
              <w:t>plomba</w:t>
            </w:r>
          </w:p>
        </w:tc>
        <w:tc>
          <w:tcPr>
            <w:tcW w:w="2664" w:type="dxa"/>
            <w:vAlign w:val="center"/>
          </w:tcPr>
          <w:p w14:paraId="0BBF6CE6">
            <w:pPr>
              <w:spacing w:after="0" w:line="240" w:lineRule="auto"/>
            </w:pPr>
            <w:r>
              <w:t>пломба</w:t>
            </w:r>
          </w:p>
        </w:tc>
      </w:tr>
      <w:tr w14:paraId="2D407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4B913EA5">
            <w:pPr>
              <w:spacing w:after="0" w:line="240" w:lineRule="auto"/>
            </w:pPr>
            <w:r>
              <w:t>decayed part</w:t>
            </w:r>
          </w:p>
        </w:tc>
        <w:tc>
          <w:tcPr>
            <w:tcW w:w="2664" w:type="dxa"/>
            <w:vAlign w:val="center"/>
          </w:tcPr>
          <w:p w14:paraId="753720AD">
            <w:pPr>
              <w:spacing w:after="0" w:line="240" w:lineRule="auto"/>
            </w:pPr>
            <w:r>
              <w:t>/dɪˈkeɪd pɑːt/</w:t>
            </w:r>
          </w:p>
        </w:tc>
        <w:tc>
          <w:tcPr>
            <w:tcW w:w="2664" w:type="dxa"/>
            <w:vAlign w:val="center"/>
          </w:tcPr>
          <w:p w14:paraId="0FF74E84">
            <w:pPr>
              <w:spacing w:after="0" w:line="240" w:lineRule="auto"/>
            </w:pPr>
            <w:r>
              <w:t>kariyes bilan zararlangan qism</w:t>
            </w:r>
          </w:p>
        </w:tc>
        <w:tc>
          <w:tcPr>
            <w:tcW w:w="2664" w:type="dxa"/>
            <w:vAlign w:val="center"/>
          </w:tcPr>
          <w:p w14:paraId="0D2C9CFD">
            <w:pPr>
              <w:spacing w:after="0" w:line="240" w:lineRule="auto"/>
            </w:pPr>
            <w:r>
              <w:t>кариозная часть</w:t>
            </w:r>
          </w:p>
        </w:tc>
      </w:tr>
      <w:tr w14:paraId="7A956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B930EBB">
            <w:pPr>
              <w:spacing w:after="0" w:line="240" w:lineRule="auto"/>
            </w:pPr>
            <w:r>
              <w:t>local anaesthetic</w:t>
            </w:r>
          </w:p>
        </w:tc>
        <w:tc>
          <w:tcPr>
            <w:tcW w:w="2664" w:type="dxa"/>
            <w:vAlign w:val="center"/>
          </w:tcPr>
          <w:p w14:paraId="70020F13">
            <w:pPr>
              <w:spacing w:after="0" w:line="240" w:lineRule="auto"/>
            </w:pPr>
            <w:r>
              <w:t>/ˌləʊkəl ˌænəsˈθetɪk/</w:t>
            </w:r>
          </w:p>
        </w:tc>
        <w:tc>
          <w:tcPr>
            <w:tcW w:w="2664" w:type="dxa"/>
            <w:vAlign w:val="center"/>
          </w:tcPr>
          <w:p w14:paraId="18D79984">
            <w:pPr>
              <w:spacing w:after="0" w:line="240" w:lineRule="auto"/>
            </w:pPr>
            <w:r>
              <w:t>mahalliy og‘riqsizlantiruvchi</w:t>
            </w:r>
          </w:p>
        </w:tc>
        <w:tc>
          <w:tcPr>
            <w:tcW w:w="2664" w:type="dxa"/>
            <w:vAlign w:val="center"/>
          </w:tcPr>
          <w:p w14:paraId="6FB82DF8">
            <w:pPr>
              <w:spacing w:after="0" w:line="240" w:lineRule="auto"/>
            </w:pPr>
            <w:r>
              <w:t>местный анестетик</w:t>
            </w:r>
          </w:p>
        </w:tc>
      </w:tr>
      <w:tr w14:paraId="35B0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ABE3401">
            <w:pPr>
              <w:spacing w:after="0" w:line="240" w:lineRule="auto"/>
            </w:pPr>
            <w:r>
              <w:t>anaesthetic injection</w:t>
            </w:r>
          </w:p>
        </w:tc>
        <w:tc>
          <w:tcPr>
            <w:tcW w:w="2664" w:type="dxa"/>
            <w:vAlign w:val="center"/>
          </w:tcPr>
          <w:p w14:paraId="71406C3C">
            <w:pPr>
              <w:spacing w:after="0" w:line="240" w:lineRule="auto"/>
            </w:pPr>
            <w:r>
              <w:t>/ˌænəsˈθetɪk ɪnˈdʒekʃən/</w:t>
            </w:r>
          </w:p>
        </w:tc>
        <w:tc>
          <w:tcPr>
            <w:tcW w:w="2664" w:type="dxa"/>
            <w:vAlign w:val="center"/>
          </w:tcPr>
          <w:p w14:paraId="02023292">
            <w:pPr>
              <w:spacing w:after="0" w:line="240" w:lineRule="auto"/>
            </w:pPr>
            <w:r>
              <w:t>og‘riqsizlantiruvchi ukol</w:t>
            </w:r>
          </w:p>
        </w:tc>
        <w:tc>
          <w:tcPr>
            <w:tcW w:w="2664" w:type="dxa"/>
            <w:vAlign w:val="center"/>
          </w:tcPr>
          <w:p w14:paraId="4D04C48E">
            <w:pPr>
              <w:spacing w:after="0" w:line="240" w:lineRule="auto"/>
            </w:pPr>
            <w:r>
              <w:t>анестезирующая инъекция</w:t>
            </w:r>
          </w:p>
        </w:tc>
      </w:tr>
      <w:tr w14:paraId="58CC3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D096014">
            <w:pPr>
              <w:spacing w:after="0" w:line="240" w:lineRule="auto"/>
            </w:pPr>
            <w:r>
              <w:t>fluoride toothpaste</w:t>
            </w:r>
          </w:p>
        </w:tc>
        <w:tc>
          <w:tcPr>
            <w:tcW w:w="2664" w:type="dxa"/>
            <w:vAlign w:val="center"/>
          </w:tcPr>
          <w:p w14:paraId="1581A4DD">
            <w:pPr>
              <w:spacing w:after="0" w:line="240" w:lineRule="auto"/>
            </w:pPr>
            <w:r>
              <w:t>/ˈflʊəraɪd ˈtuːθpeɪst/</w:t>
            </w:r>
          </w:p>
        </w:tc>
        <w:tc>
          <w:tcPr>
            <w:tcW w:w="2664" w:type="dxa"/>
            <w:vAlign w:val="center"/>
          </w:tcPr>
          <w:p w14:paraId="585E8B4C">
            <w:pPr>
              <w:spacing w:after="0" w:line="240" w:lineRule="auto"/>
            </w:pPr>
            <w:r>
              <w:t>ftorli tish pastasi</w:t>
            </w:r>
          </w:p>
        </w:tc>
        <w:tc>
          <w:tcPr>
            <w:tcW w:w="2664" w:type="dxa"/>
            <w:vAlign w:val="center"/>
          </w:tcPr>
          <w:p w14:paraId="67776B53">
            <w:pPr>
              <w:spacing w:after="0" w:line="240" w:lineRule="auto"/>
            </w:pPr>
            <w:r>
              <w:t>фторсодержащая зубная паста</w:t>
            </w:r>
          </w:p>
        </w:tc>
      </w:tr>
      <w:tr w14:paraId="510B7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179A7D88">
            <w:pPr>
              <w:spacing w:after="0" w:line="240" w:lineRule="auto"/>
            </w:pPr>
            <w:r>
              <w:t>clean between your teeth</w:t>
            </w:r>
          </w:p>
        </w:tc>
        <w:tc>
          <w:tcPr>
            <w:tcW w:w="2664" w:type="dxa"/>
            <w:vAlign w:val="center"/>
          </w:tcPr>
          <w:p w14:paraId="1B8CC9F6">
            <w:pPr>
              <w:spacing w:after="0" w:line="240" w:lineRule="auto"/>
            </w:pPr>
            <w:r>
              <w:t>/kliːn bɪˈtwiːn jɔː tiːθ/</w:t>
            </w:r>
          </w:p>
        </w:tc>
        <w:tc>
          <w:tcPr>
            <w:tcW w:w="2664" w:type="dxa"/>
            <w:vAlign w:val="center"/>
          </w:tcPr>
          <w:p w14:paraId="3D63DD3F">
            <w:pPr>
              <w:spacing w:after="0" w:line="240" w:lineRule="auto"/>
            </w:pPr>
            <w:r>
              <w:t>tishlar orasini tozalamoq</w:t>
            </w:r>
          </w:p>
        </w:tc>
        <w:tc>
          <w:tcPr>
            <w:tcW w:w="2664" w:type="dxa"/>
            <w:vAlign w:val="center"/>
          </w:tcPr>
          <w:p w14:paraId="53A156E4">
            <w:pPr>
              <w:spacing w:after="0" w:line="240" w:lineRule="auto"/>
            </w:pPr>
            <w:r>
              <w:t>чистить между зубами</w:t>
            </w:r>
          </w:p>
        </w:tc>
      </w:tr>
      <w:tr w14:paraId="0471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273F54E">
            <w:pPr>
              <w:spacing w:after="0" w:line="240" w:lineRule="auto"/>
            </w:pPr>
            <w:r>
              <w:t>dental check-up</w:t>
            </w:r>
          </w:p>
        </w:tc>
        <w:tc>
          <w:tcPr>
            <w:tcW w:w="2664" w:type="dxa"/>
            <w:vAlign w:val="center"/>
          </w:tcPr>
          <w:p w14:paraId="35A4ACAF">
            <w:pPr>
              <w:spacing w:after="0" w:line="240" w:lineRule="auto"/>
            </w:pPr>
            <w:r>
              <w:t>/ˈdentl ˈtʃek ʌp/</w:t>
            </w:r>
          </w:p>
        </w:tc>
        <w:tc>
          <w:tcPr>
            <w:tcW w:w="2664" w:type="dxa"/>
            <w:vAlign w:val="center"/>
          </w:tcPr>
          <w:p w14:paraId="2F8288EE">
            <w:pPr>
              <w:spacing w:after="0" w:line="240" w:lineRule="auto"/>
            </w:pPr>
            <w:r>
              <w:t>stomatolog ko‘rigi</w:t>
            </w:r>
          </w:p>
        </w:tc>
        <w:tc>
          <w:tcPr>
            <w:tcW w:w="2664" w:type="dxa"/>
            <w:vAlign w:val="center"/>
          </w:tcPr>
          <w:p w14:paraId="01579846">
            <w:pPr>
              <w:spacing w:after="0" w:line="240" w:lineRule="auto"/>
            </w:pPr>
            <w:r>
              <w:t>стоматологический осмотр</w:t>
            </w:r>
          </w:p>
        </w:tc>
      </w:tr>
      <w:tr w14:paraId="44D6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A29A437">
            <w:pPr>
              <w:spacing w:after="0" w:line="240" w:lineRule="auto"/>
            </w:pPr>
            <w:r>
              <w:t>further damage</w:t>
            </w:r>
          </w:p>
        </w:tc>
        <w:tc>
          <w:tcPr>
            <w:tcW w:w="2664" w:type="dxa"/>
            <w:vAlign w:val="center"/>
          </w:tcPr>
          <w:p w14:paraId="62C86332">
            <w:pPr>
              <w:spacing w:after="0" w:line="240" w:lineRule="auto"/>
            </w:pPr>
            <w:r>
              <w:t>/ˈfɜːðə ˈdæmɪdʒ/</w:t>
            </w:r>
          </w:p>
        </w:tc>
        <w:tc>
          <w:tcPr>
            <w:tcW w:w="2664" w:type="dxa"/>
            <w:vAlign w:val="center"/>
          </w:tcPr>
          <w:p w14:paraId="4DA55413">
            <w:pPr>
              <w:spacing w:after="0" w:line="240" w:lineRule="auto"/>
            </w:pPr>
            <w:r>
              <w:t>keyingi / qo‘shimcha zarar</w:t>
            </w:r>
          </w:p>
        </w:tc>
        <w:tc>
          <w:tcPr>
            <w:tcW w:w="2664" w:type="dxa"/>
            <w:vAlign w:val="center"/>
          </w:tcPr>
          <w:p w14:paraId="0590B686">
            <w:pPr>
              <w:spacing w:after="0" w:line="240" w:lineRule="auto"/>
            </w:pPr>
            <w:r>
              <w:t>дальнейшее повреждение</w:t>
            </w:r>
          </w:p>
        </w:tc>
      </w:tr>
    </w:tbl>
    <w:p w14:paraId="51C7ED74">
      <w:pPr>
        <w:pStyle w:val="3"/>
      </w:pPr>
      <w:r>
        <w:t>2. SMART PHRASEBOOK — Dental Caries</w:t>
      </w:r>
    </w:p>
    <w:p w14:paraId="2374118D">
      <w:r>
        <w:t>Smart Phrasebook talaba suhbatni bosqichma-bosqich olib borishi va bemorning javoblarini tushunishi uchun tuzilgan. Har bir muhim shifokor savoliga dialogdagi bemorning tabiiy javobi berilgan.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2"/>
        <w:gridCol w:w="1522"/>
        <w:gridCol w:w="1522"/>
        <w:gridCol w:w="1522"/>
        <w:gridCol w:w="1522"/>
        <w:gridCol w:w="1687"/>
        <w:gridCol w:w="1522"/>
      </w:tblGrid>
      <w:tr w14:paraId="766C1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tcPr>
          <w:p w14:paraId="34B33A01">
            <w:pPr>
              <w:spacing w:after="0" w:line="240" w:lineRule="auto"/>
            </w:pPr>
            <w:r>
              <w:t>Bosqich</w:t>
            </w:r>
          </w:p>
        </w:tc>
        <w:tc>
          <w:tcPr>
            <w:tcW w:w="1522" w:type="dxa"/>
          </w:tcPr>
          <w:p w14:paraId="03FD01D1">
            <w:pPr>
              <w:spacing w:after="0" w:line="240" w:lineRule="auto"/>
            </w:pPr>
            <w:r>
              <w:t>Doctor — English</w:t>
            </w:r>
          </w:p>
        </w:tc>
        <w:tc>
          <w:tcPr>
            <w:tcW w:w="1522" w:type="dxa"/>
          </w:tcPr>
          <w:p w14:paraId="3E2B27D8">
            <w:pPr>
              <w:spacing w:after="0" w:line="240" w:lineRule="auto"/>
            </w:pPr>
            <w:r>
              <w:t>Talaffuzi</w:t>
            </w:r>
          </w:p>
        </w:tc>
        <w:tc>
          <w:tcPr>
            <w:tcW w:w="1522" w:type="dxa"/>
          </w:tcPr>
          <w:p w14:paraId="26039535">
            <w:pPr>
              <w:spacing w:after="0" w:line="240" w:lineRule="auto"/>
            </w:pPr>
            <w:r>
              <w:t>O‘zbekcha</w:t>
            </w:r>
          </w:p>
        </w:tc>
        <w:tc>
          <w:tcPr>
            <w:tcW w:w="1522" w:type="dxa"/>
          </w:tcPr>
          <w:p w14:paraId="71A844D9">
            <w:pPr>
              <w:spacing w:after="0" w:line="240" w:lineRule="auto"/>
            </w:pPr>
            <w:r>
              <w:t>Patient — English</w:t>
            </w:r>
          </w:p>
        </w:tc>
        <w:tc>
          <w:tcPr>
            <w:tcW w:w="1522" w:type="dxa"/>
          </w:tcPr>
          <w:p w14:paraId="6E51F2D4">
            <w:pPr>
              <w:spacing w:after="0" w:line="240" w:lineRule="auto"/>
            </w:pPr>
            <w:r>
              <w:t>O‘zbekcha</w:t>
            </w:r>
          </w:p>
        </w:tc>
        <w:tc>
          <w:tcPr>
            <w:tcW w:w="1522" w:type="dxa"/>
          </w:tcPr>
          <w:p w14:paraId="22145CF7">
            <w:pPr>
              <w:spacing w:after="0" w:line="240" w:lineRule="auto"/>
            </w:pPr>
            <w:r>
              <w:t>Русский</w:t>
            </w:r>
          </w:p>
        </w:tc>
      </w:tr>
      <w:tr w14:paraId="0AE58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2A69D149">
            <w:pPr>
              <w:spacing w:after="0" w:line="240" w:lineRule="auto"/>
            </w:pPr>
            <w:r>
              <w:t>1. Opening</w:t>
            </w:r>
          </w:p>
        </w:tc>
        <w:tc>
          <w:tcPr>
            <w:tcW w:w="1522" w:type="dxa"/>
            <w:vAlign w:val="center"/>
          </w:tcPr>
          <w:p w14:paraId="391BC590">
            <w:pPr>
              <w:spacing w:after="0" w:line="240" w:lineRule="auto"/>
            </w:pPr>
            <w:r>
              <w:t>What brings you in today?</w:t>
            </w:r>
          </w:p>
        </w:tc>
        <w:tc>
          <w:tcPr>
            <w:tcW w:w="1522" w:type="dxa"/>
            <w:vAlign w:val="center"/>
          </w:tcPr>
          <w:p w14:paraId="0109C901">
            <w:pPr>
              <w:spacing w:after="0" w:line="240" w:lineRule="auto"/>
            </w:pPr>
            <w:r>
              <w:t>/wɒt brɪŋz juː ɪn təˈdeɪ/</w:t>
            </w:r>
          </w:p>
        </w:tc>
        <w:tc>
          <w:tcPr>
            <w:tcW w:w="1522" w:type="dxa"/>
            <w:vAlign w:val="center"/>
          </w:tcPr>
          <w:p w14:paraId="6088E429">
            <w:pPr>
              <w:spacing w:after="0" w:line="240" w:lineRule="auto"/>
            </w:pPr>
            <w:r>
              <w:t>Bugun sizni nima olib keldi?</w:t>
            </w:r>
          </w:p>
        </w:tc>
        <w:tc>
          <w:tcPr>
            <w:tcW w:w="1522" w:type="dxa"/>
            <w:vAlign w:val="center"/>
          </w:tcPr>
          <w:p w14:paraId="29118207">
            <w:pPr>
              <w:spacing w:after="0" w:line="240" w:lineRule="auto"/>
            </w:pPr>
            <w:r>
              <w:t>I’ve noticed a sudden sensitivity in one of my molars.</w:t>
            </w:r>
          </w:p>
        </w:tc>
        <w:tc>
          <w:tcPr>
            <w:tcW w:w="1522" w:type="dxa"/>
            <w:vAlign w:val="center"/>
          </w:tcPr>
          <w:p w14:paraId="6E3C5407">
            <w:pPr>
              <w:spacing w:after="0" w:line="240" w:lineRule="auto"/>
            </w:pPr>
            <w:r>
              <w:t>Tishlarimdan birida to‘satdan sezuvchanlik paydo bo‘lganini sezdim.</w:t>
            </w:r>
          </w:p>
        </w:tc>
        <w:tc>
          <w:tcPr>
            <w:tcW w:w="1522" w:type="dxa"/>
            <w:vAlign w:val="center"/>
          </w:tcPr>
          <w:p w14:paraId="2CBDBBA9">
            <w:pPr>
              <w:spacing w:after="0" w:line="240" w:lineRule="auto"/>
            </w:pPr>
            <w:r>
              <w:t>Men заметил внезапную чувствительность одного из коренных зубов.</w:t>
            </w:r>
          </w:p>
        </w:tc>
      </w:tr>
      <w:tr w14:paraId="67990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06AA7FC7">
            <w:pPr>
              <w:spacing w:after="0" w:line="240" w:lineRule="auto"/>
            </w:pPr>
            <w:r>
              <w:t>2. Symptoms</w:t>
            </w:r>
          </w:p>
        </w:tc>
        <w:tc>
          <w:tcPr>
            <w:tcW w:w="1522" w:type="dxa"/>
            <w:vAlign w:val="center"/>
          </w:tcPr>
          <w:p w14:paraId="25112362">
            <w:pPr>
              <w:spacing w:after="0" w:line="240" w:lineRule="auto"/>
            </w:pPr>
            <w:r>
              <w:t>Does anything in particular bring on the discomfort?</w:t>
            </w:r>
          </w:p>
        </w:tc>
        <w:tc>
          <w:tcPr>
            <w:tcW w:w="1522" w:type="dxa"/>
            <w:vAlign w:val="center"/>
          </w:tcPr>
          <w:p w14:paraId="73ACCB92">
            <w:pPr>
              <w:spacing w:after="0" w:line="240" w:lineRule="auto"/>
            </w:pPr>
            <w:r>
              <w:t>/dʌz ˈeniθɪŋ ɪn pəˈtɪkjələ brɪŋ ɒn ðə dɪsˈkʌmfət/</w:t>
            </w:r>
          </w:p>
        </w:tc>
        <w:tc>
          <w:tcPr>
            <w:tcW w:w="1522" w:type="dxa"/>
            <w:vAlign w:val="center"/>
          </w:tcPr>
          <w:p w14:paraId="0099FEC4">
            <w:pPr>
              <w:spacing w:after="0" w:line="240" w:lineRule="auto"/>
            </w:pPr>
            <w:r>
              <w:t>Ayniqsa, biror narsa bu noqulaylikni keltirib chiqaryaptimi?</w:t>
            </w:r>
          </w:p>
        </w:tc>
        <w:tc>
          <w:tcPr>
            <w:tcW w:w="1522" w:type="dxa"/>
            <w:vAlign w:val="center"/>
          </w:tcPr>
          <w:p w14:paraId="7815A00D">
            <w:pPr>
              <w:spacing w:after="0" w:line="240" w:lineRule="auto"/>
            </w:pPr>
            <w:r>
              <w:t>Cold drinks seem to bring it on.</w:t>
            </w:r>
          </w:p>
        </w:tc>
        <w:tc>
          <w:tcPr>
            <w:tcW w:w="1522" w:type="dxa"/>
            <w:vAlign w:val="center"/>
          </w:tcPr>
          <w:p w14:paraId="37D4AF02">
            <w:pPr>
              <w:spacing w:after="0" w:line="240" w:lineRule="auto"/>
            </w:pPr>
            <w:r>
              <w:t>Sovuq ichimliklar bu og‘riqni qo‘zg‘atayotganga o‘xshaydi.</w:t>
            </w:r>
          </w:p>
        </w:tc>
        <w:tc>
          <w:tcPr>
            <w:tcW w:w="1522" w:type="dxa"/>
            <w:vAlign w:val="center"/>
          </w:tcPr>
          <w:p w14:paraId="25E1DB2A">
            <w:pPr>
              <w:spacing w:after="0" w:line="240" w:lineRule="auto"/>
            </w:pPr>
            <w:r>
              <w:t>Похоже, холодные напитки вызывают эту боль.</w:t>
            </w:r>
          </w:p>
        </w:tc>
      </w:tr>
      <w:tr w14:paraId="2BD3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4A4FE53B">
            <w:pPr>
              <w:spacing w:after="0" w:line="240" w:lineRule="auto"/>
            </w:pPr>
            <w:r>
              <w:t>3. Symptoms</w:t>
            </w:r>
          </w:p>
        </w:tc>
        <w:tc>
          <w:tcPr>
            <w:tcW w:w="1522" w:type="dxa"/>
            <w:vAlign w:val="center"/>
          </w:tcPr>
          <w:p w14:paraId="162726D3">
            <w:pPr>
              <w:spacing w:after="0" w:line="240" w:lineRule="auto"/>
            </w:pPr>
            <w:r>
              <w:t>Have you noticed any swelling or tenderness around the tooth?</w:t>
            </w:r>
          </w:p>
        </w:tc>
        <w:tc>
          <w:tcPr>
            <w:tcW w:w="1522" w:type="dxa"/>
            <w:vAlign w:val="center"/>
          </w:tcPr>
          <w:p w14:paraId="0FDF184C">
            <w:pPr>
              <w:spacing w:after="0" w:line="240" w:lineRule="auto"/>
            </w:pPr>
            <w:r>
              <w:t>/hæv juː ˈnəʊtɪst ˈeni ˈswelɪŋ ɔː ˈtendənəs əˈraʊnd ðə tuːθ/</w:t>
            </w:r>
          </w:p>
        </w:tc>
        <w:tc>
          <w:tcPr>
            <w:tcW w:w="1522" w:type="dxa"/>
            <w:vAlign w:val="center"/>
          </w:tcPr>
          <w:p w14:paraId="66E24D56">
            <w:pPr>
              <w:spacing w:after="0" w:line="240" w:lineRule="auto"/>
            </w:pPr>
            <w:r>
              <w:t>Tish atrofida shish yoki og‘riqlilik sezganmisiz?</w:t>
            </w:r>
          </w:p>
        </w:tc>
        <w:tc>
          <w:tcPr>
            <w:tcW w:w="1522" w:type="dxa"/>
            <w:vAlign w:val="center"/>
          </w:tcPr>
          <w:p w14:paraId="23AB77DB">
            <w:pPr>
              <w:spacing w:after="0" w:line="240" w:lineRule="auto"/>
            </w:pPr>
            <w:r>
              <w:t>There’s no noticeable swelling, but the area around the tooth feels slightly tender.</w:t>
            </w:r>
          </w:p>
        </w:tc>
        <w:tc>
          <w:tcPr>
            <w:tcW w:w="1522" w:type="dxa"/>
            <w:vAlign w:val="center"/>
          </w:tcPr>
          <w:p w14:paraId="0C9D7BF5">
            <w:pPr>
              <w:spacing w:after="0" w:line="240" w:lineRule="auto"/>
            </w:pPr>
            <w:r>
              <w:t>Ko‘zga tashlanadigan shish yo‘q, lekin tish atrofidagi joy biroz og‘riqli tuyuladi.</w:t>
            </w:r>
          </w:p>
        </w:tc>
        <w:tc>
          <w:tcPr>
            <w:tcW w:w="1522" w:type="dxa"/>
            <w:vAlign w:val="center"/>
          </w:tcPr>
          <w:p w14:paraId="2EDD2BF0">
            <w:pPr>
              <w:spacing w:after="0" w:line="240" w:lineRule="auto"/>
            </w:pPr>
            <w:r>
              <w:t>Заметной опухоли нет, но область вокруг зуба немного болезненна.</w:t>
            </w:r>
          </w:p>
        </w:tc>
      </w:tr>
      <w:tr w14:paraId="7DC4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1D1F752A">
            <w:pPr>
              <w:spacing w:after="0" w:line="240" w:lineRule="auto"/>
            </w:pPr>
            <w:r>
              <w:t>4. Clinical Assessment</w:t>
            </w:r>
          </w:p>
        </w:tc>
        <w:tc>
          <w:tcPr>
            <w:tcW w:w="1522" w:type="dxa"/>
            <w:vAlign w:val="center"/>
          </w:tcPr>
          <w:p w14:paraId="5C0864F5">
            <w:pPr>
              <w:spacing w:after="0" w:line="240" w:lineRule="auto"/>
            </w:pPr>
            <w:r>
              <w:t>Let me take a closer look.</w:t>
            </w:r>
          </w:p>
        </w:tc>
        <w:tc>
          <w:tcPr>
            <w:tcW w:w="1522" w:type="dxa"/>
            <w:vAlign w:val="center"/>
          </w:tcPr>
          <w:p w14:paraId="5BEFDF22">
            <w:pPr>
              <w:spacing w:after="0" w:line="240" w:lineRule="auto"/>
            </w:pPr>
            <w:r>
              <w:t>/let miː teɪk ə ˈkləʊsə lʊk/</w:t>
            </w:r>
          </w:p>
        </w:tc>
        <w:tc>
          <w:tcPr>
            <w:tcW w:w="1522" w:type="dxa"/>
            <w:vAlign w:val="center"/>
          </w:tcPr>
          <w:p w14:paraId="14FEE9EC">
            <w:pPr>
              <w:spacing w:after="0" w:line="240" w:lineRule="auto"/>
            </w:pPr>
            <w:r>
              <w:t>Keling, yaxshilab ko‘rib chiqay.</w:t>
            </w:r>
          </w:p>
        </w:tc>
        <w:tc>
          <w:tcPr>
            <w:tcW w:w="1522" w:type="dxa"/>
            <w:vAlign w:val="center"/>
          </w:tcPr>
          <w:p w14:paraId="16FAF987">
            <w:pPr>
              <w:spacing w:after="0" w:line="240" w:lineRule="auto"/>
            </w:pPr>
            <w:r>
              <w:t>I’ll check the tooth for any visible signs of decay.</w:t>
            </w:r>
          </w:p>
        </w:tc>
        <w:tc>
          <w:tcPr>
            <w:tcW w:w="1522" w:type="dxa"/>
            <w:vAlign w:val="center"/>
          </w:tcPr>
          <w:p w14:paraId="04DCE187">
            <w:pPr>
              <w:spacing w:after="0" w:line="240" w:lineRule="auto"/>
            </w:pPr>
            <w:r>
              <w:t>Men tishda kariyesning ko‘zga tashlanadigan belgilarini tekshiraman.</w:t>
            </w:r>
          </w:p>
        </w:tc>
        <w:tc>
          <w:tcPr>
            <w:tcW w:w="1522" w:type="dxa"/>
            <w:vAlign w:val="center"/>
          </w:tcPr>
          <w:p w14:paraId="6DE31570">
            <w:pPr>
              <w:spacing w:after="0" w:line="240" w:lineRule="auto"/>
            </w:pPr>
            <w:r>
              <w:t>Я проверю зуб на наличие видимых признаков кариеса.</w:t>
            </w:r>
          </w:p>
        </w:tc>
      </w:tr>
      <w:tr w14:paraId="52D62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4DE39A15">
            <w:pPr>
              <w:spacing w:after="0" w:line="240" w:lineRule="auto"/>
            </w:pPr>
            <w:r>
              <w:t>5. Diagnosis</w:t>
            </w:r>
          </w:p>
        </w:tc>
        <w:tc>
          <w:tcPr>
            <w:tcW w:w="1522" w:type="dxa"/>
            <w:vAlign w:val="center"/>
          </w:tcPr>
          <w:p w14:paraId="5B759AD5">
            <w:pPr>
              <w:spacing w:after="0" w:line="240" w:lineRule="auto"/>
            </w:pPr>
            <w:r>
              <w:t>Does that mean I have dental caries?</w:t>
            </w:r>
          </w:p>
        </w:tc>
        <w:tc>
          <w:tcPr>
            <w:tcW w:w="1522" w:type="dxa"/>
            <w:vAlign w:val="center"/>
          </w:tcPr>
          <w:p w14:paraId="4AA018AB">
            <w:pPr>
              <w:spacing w:after="0" w:line="240" w:lineRule="auto"/>
            </w:pPr>
            <w:r>
              <w:t>/dʌz ðæt miːn aɪ hæv ˈdentl ˈkeəriːz/</w:t>
            </w:r>
          </w:p>
        </w:tc>
        <w:tc>
          <w:tcPr>
            <w:tcW w:w="1522" w:type="dxa"/>
            <w:vAlign w:val="center"/>
          </w:tcPr>
          <w:p w14:paraId="5CD36B42">
            <w:pPr>
              <w:spacing w:after="0" w:line="240" w:lineRule="auto"/>
            </w:pPr>
            <w:r>
              <w:t>Bu menda kariyes bor deganimi?</w:t>
            </w:r>
          </w:p>
        </w:tc>
        <w:tc>
          <w:tcPr>
            <w:tcW w:w="1522" w:type="dxa"/>
            <w:vAlign w:val="center"/>
          </w:tcPr>
          <w:p w14:paraId="314277C4">
            <w:pPr>
              <w:spacing w:after="0" w:line="240" w:lineRule="auto"/>
            </w:pPr>
            <w:r>
              <w:t>It appears that you have an early stage of dental caries.</w:t>
            </w:r>
          </w:p>
        </w:tc>
        <w:tc>
          <w:tcPr>
            <w:tcW w:w="1522" w:type="dxa"/>
            <w:vAlign w:val="center"/>
          </w:tcPr>
          <w:p w14:paraId="54F131F1">
            <w:pPr>
              <w:spacing w:after="0" w:line="240" w:lineRule="auto"/>
            </w:pPr>
            <w:r>
              <w:t>Sizda kariyesning dastlabki bosqichi ko‘rinmoqda.</w:t>
            </w:r>
          </w:p>
        </w:tc>
        <w:tc>
          <w:tcPr>
            <w:tcW w:w="1522" w:type="dxa"/>
            <w:vAlign w:val="center"/>
          </w:tcPr>
          <w:p w14:paraId="25E5CDBD">
            <w:pPr>
              <w:spacing w:after="0" w:line="240" w:lineRule="auto"/>
            </w:pPr>
            <w:r>
              <w:t>Похоже, у вас начальная стадия кариеса.</w:t>
            </w:r>
          </w:p>
        </w:tc>
      </w:tr>
      <w:tr w14:paraId="20CC6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7ABF384F">
            <w:pPr>
              <w:spacing w:after="0" w:line="240" w:lineRule="auto"/>
            </w:pPr>
            <w:r>
              <w:t>6. Causes</w:t>
            </w:r>
          </w:p>
        </w:tc>
        <w:tc>
          <w:tcPr>
            <w:tcW w:w="1522" w:type="dxa"/>
            <w:vAlign w:val="center"/>
          </w:tcPr>
          <w:p w14:paraId="1C70A0EF">
            <w:pPr>
              <w:spacing w:after="0" w:line="240" w:lineRule="auto"/>
            </w:pPr>
            <w:r>
              <w:t>What might have caused it?</w:t>
            </w:r>
          </w:p>
        </w:tc>
        <w:tc>
          <w:tcPr>
            <w:tcW w:w="1522" w:type="dxa"/>
            <w:vAlign w:val="center"/>
          </w:tcPr>
          <w:p w14:paraId="0166D311">
            <w:pPr>
              <w:spacing w:after="0" w:line="240" w:lineRule="auto"/>
            </w:pPr>
            <w:r>
              <w:t>/wɒt maɪt hæv kɔːzd ɪt/</w:t>
            </w:r>
          </w:p>
        </w:tc>
        <w:tc>
          <w:tcPr>
            <w:tcW w:w="1522" w:type="dxa"/>
            <w:vAlign w:val="center"/>
          </w:tcPr>
          <w:p w14:paraId="094D89CB">
            <w:pPr>
              <w:spacing w:after="0" w:line="240" w:lineRule="auto"/>
            </w:pPr>
            <w:r>
              <w:t>Bunga nima sabab bo‘lgan bo‘lishi mumkin?</w:t>
            </w:r>
          </w:p>
        </w:tc>
        <w:tc>
          <w:tcPr>
            <w:tcW w:w="1522" w:type="dxa"/>
            <w:vAlign w:val="center"/>
          </w:tcPr>
          <w:p w14:paraId="7B20EB26">
            <w:pPr>
              <w:spacing w:after="0" w:line="240" w:lineRule="auto"/>
            </w:pPr>
            <w:r>
              <w:t>Several factors could be involved.</w:t>
            </w:r>
          </w:p>
        </w:tc>
        <w:tc>
          <w:tcPr>
            <w:tcW w:w="1522" w:type="dxa"/>
            <w:vAlign w:val="center"/>
          </w:tcPr>
          <w:p w14:paraId="070A0E62">
            <w:pPr>
              <w:spacing w:after="0" w:line="240" w:lineRule="auto"/>
            </w:pPr>
            <w:r>
              <w:t>Bunga bir nechta omil sabab bo‘lishi mumkin.</w:t>
            </w:r>
          </w:p>
        </w:tc>
        <w:tc>
          <w:tcPr>
            <w:tcW w:w="1522" w:type="dxa"/>
            <w:vAlign w:val="center"/>
          </w:tcPr>
          <w:p w14:paraId="79BBAE4C">
            <w:pPr>
              <w:spacing w:after="0" w:line="240" w:lineRule="auto"/>
            </w:pPr>
            <w:r>
              <w:t>Причин может быть несколько.</w:t>
            </w:r>
          </w:p>
        </w:tc>
      </w:tr>
      <w:tr w14:paraId="788C2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70AECCD9">
            <w:pPr>
              <w:spacing w:after="0" w:line="240" w:lineRule="auto"/>
            </w:pPr>
            <w:r>
              <w:t>7. Treatment</w:t>
            </w:r>
          </w:p>
        </w:tc>
        <w:tc>
          <w:tcPr>
            <w:tcW w:w="1522" w:type="dxa"/>
            <w:vAlign w:val="center"/>
          </w:tcPr>
          <w:p w14:paraId="4978EA5B">
            <w:pPr>
              <w:spacing w:after="0" w:line="240" w:lineRule="auto"/>
            </w:pPr>
            <w:r>
              <w:t>So, what kind of treatment would I need?</w:t>
            </w:r>
          </w:p>
        </w:tc>
        <w:tc>
          <w:tcPr>
            <w:tcW w:w="1522" w:type="dxa"/>
            <w:vAlign w:val="center"/>
          </w:tcPr>
          <w:p w14:paraId="70970AA3">
            <w:pPr>
              <w:spacing w:after="0" w:line="240" w:lineRule="auto"/>
            </w:pPr>
            <w:r>
              <w:t>/səʊ wɒt kaɪnd əv ˈtriːtmənt wʊd aɪ niːd/</w:t>
            </w:r>
          </w:p>
        </w:tc>
        <w:tc>
          <w:tcPr>
            <w:tcW w:w="1522" w:type="dxa"/>
            <w:vAlign w:val="center"/>
          </w:tcPr>
          <w:p w14:paraId="0FD759ED">
            <w:pPr>
              <w:spacing w:after="0" w:line="240" w:lineRule="auto"/>
            </w:pPr>
            <w:r>
              <w:t>Unda menga qanday davolash kerak bo‘ladi?</w:t>
            </w:r>
          </w:p>
        </w:tc>
        <w:tc>
          <w:tcPr>
            <w:tcW w:w="1522" w:type="dxa"/>
            <w:vAlign w:val="center"/>
          </w:tcPr>
          <w:p w14:paraId="20A7F2D7">
            <w:pPr>
              <w:spacing w:after="0" w:line="240" w:lineRule="auto"/>
            </w:pPr>
            <w:r>
              <w:t>At this stage, a filling should be enough.</w:t>
            </w:r>
          </w:p>
        </w:tc>
        <w:tc>
          <w:tcPr>
            <w:tcW w:w="1522" w:type="dxa"/>
            <w:vAlign w:val="center"/>
          </w:tcPr>
          <w:p w14:paraId="1CDD165C">
            <w:pPr>
              <w:spacing w:after="0" w:line="240" w:lineRule="auto"/>
            </w:pPr>
            <w:r>
              <w:t>Bu bosqichda plomba qo‘yishning o‘zi yetarli bo‘ladi.</w:t>
            </w:r>
          </w:p>
        </w:tc>
        <w:tc>
          <w:tcPr>
            <w:tcW w:w="1522" w:type="dxa"/>
            <w:vAlign w:val="center"/>
          </w:tcPr>
          <w:p w14:paraId="36F167B5">
            <w:pPr>
              <w:spacing w:after="0" w:line="240" w:lineRule="auto"/>
            </w:pPr>
            <w:r>
              <w:t>На этом этапе пломбы должно быть достаточно.</w:t>
            </w:r>
          </w:p>
        </w:tc>
      </w:tr>
      <w:tr w14:paraId="6A48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0760E4E0">
            <w:pPr>
              <w:spacing w:after="0" w:line="240" w:lineRule="auto"/>
            </w:pPr>
            <w:r>
              <w:t>8. Anaesthesia</w:t>
            </w:r>
          </w:p>
        </w:tc>
        <w:tc>
          <w:tcPr>
            <w:tcW w:w="1522" w:type="dxa"/>
            <w:vAlign w:val="center"/>
          </w:tcPr>
          <w:p w14:paraId="4A52786B">
            <w:pPr>
              <w:spacing w:after="0" w:line="240" w:lineRule="auto"/>
            </w:pPr>
            <w:r>
              <w:t>What if I feel pain during the procedure?</w:t>
            </w:r>
          </w:p>
        </w:tc>
        <w:tc>
          <w:tcPr>
            <w:tcW w:w="1522" w:type="dxa"/>
            <w:vAlign w:val="center"/>
          </w:tcPr>
          <w:p w14:paraId="2E66E6E6">
            <w:pPr>
              <w:spacing w:after="0" w:line="240" w:lineRule="auto"/>
            </w:pPr>
            <w:r>
              <w:t>/wɒt ɪf aɪ fiːl peɪn ˈdjʊərɪŋ ðə prəˈsiːdʒə/</w:t>
            </w:r>
          </w:p>
        </w:tc>
        <w:tc>
          <w:tcPr>
            <w:tcW w:w="1522" w:type="dxa"/>
            <w:vAlign w:val="center"/>
          </w:tcPr>
          <w:p w14:paraId="3C88C95E">
            <w:pPr>
              <w:spacing w:after="0" w:line="240" w:lineRule="auto"/>
            </w:pPr>
            <w:r>
              <w:t>Muolaja vaqtida og‘riq sezsam-chi?</w:t>
            </w:r>
          </w:p>
        </w:tc>
        <w:tc>
          <w:tcPr>
            <w:tcW w:w="1522" w:type="dxa"/>
            <w:vAlign w:val="center"/>
          </w:tcPr>
          <w:p w14:paraId="5B10FAD2">
            <w:pPr>
              <w:spacing w:after="0" w:line="240" w:lineRule="auto"/>
            </w:pPr>
            <w:r>
              <w:t>If you feel any pain, I’ll give you a local anaesthetic injection.</w:t>
            </w:r>
          </w:p>
        </w:tc>
        <w:tc>
          <w:tcPr>
            <w:tcW w:w="1522" w:type="dxa"/>
            <w:vAlign w:val="center"/>
          </w:tcPr>
          <w:p w14:paraId="0283DDC7">
            <w:pPr>
              <w:spacing w:after="0" w:line="240" w:lineRule="auto"/>
            </w:pPr>
            <w:r>
              <w:t>Agar og‘riq sezsangiz, sizga mahalliy og‘riqsizlantiruvchi ukol qilaman.</w:t>
            </w:r>
          </w:p>
        </w:tc>
        <w:tc>
          <w:tcPr>
            <w:tcW w:w="1522" w:type="dxa"/>
            <w:vAlign w:val="center"/>
          </w:tcPr>
          <w:p w14:paraId="2719EDD2">
            <w:pPr>
              <w:spacing w:after="0" w:line="240" w:lineRule="auto"/>
            </w:pPr>
            <w:r>
              <w:t>Если вы почувствуете боль, я сделаю вам местную анестезию.</w:t>
            </w:r>
          </w:p>
        </w:tc>
      </w:tr>
      <w:tr w14:paraId="5E20F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0BE5CB82">
            <w:pPr>
              <w:spacing w:after="0" w:line="240" w:lineRule="auto"/>
            </w:pPr>
            <w:r>
              <w:t>9. Prevention</w:t>
            </w:r>
          </w:p>
        </w:tc>
        <w:tc>
          <w:tcPr>
            <w:tcW w:w="1522" w:type="dxa"/>
            <w:vAlign w:val="center"/>
          </w:tcPr>
          <w:p w14:paraId="2EB2C959">
            <w:pPr>
              <w:spacing w:after="0" w:line="240" w:lineRule="auto"/>
            </w:pPr>
            <w:r>
              <w:t>What can I do to prevent another cavity?</w:t>
            </w:r>
          </w:p>
        </w:tc>
        <w:tc>
          <w:tcPr>
            <w:tcW w:w="1522" w:type="dxa"/>
            <w:vAlign w:val="center"/>
          </w:tcPr>
          <w:p w14:paraId="67589A8E">
            <w:pPr>
              <w:spacing w:after="0" w:line="240" w:lineRule="auto"/>
            </w:pPr>
            <w:r>
              <w:t>/wɒt kən aɪ duː tə prɪˈvent əˈnʌðə ˈkævəti/</w:t>
            </w:r>
          </w:p>
        </w:tc>
        <w:tc>
          <w:tcPr>
            <w:tcW w:w="1522" w:type="dxa"/>
            <w:vAlign w:val="center"/>
          </w:tcPr>
          <w:p w14:paraId="5AE32929">
            <w:pPr>
              <w:spacing w:after="0" w:line="240" w:lineRule="auto"/>
            </w:pPr>
            <w:r>
              <w:t>Yana kariyes paydo bo‘lishining oldini olish uchun nima qilishim kerak?</w:t>
            </w:r>
          </w:p>
        </w:tc>
        <w:tc>
          <w:tcPr>
            <w:tcW w:w="1522" w:type="dxa"/>
            <w:vAlign w:val="center"/>
          </w:tcPr>
          <w:p w14:paraId="77563992">
            <w:pPr>
              <w:spacing w:after="0" w:line="240" w:lineRule="auto"/>
            </w:pPr>
            <w:r>
              <w:t>Brush your teeth twice a day with fluoride toothpaste.</w:t>
            </w:r>
          </w:p>
        </w:tc>
        <w:tc>
          <w:tcPr>
            <w:tcW w:w="1522" w:type="dxa"/>
            <w:vAlign w:val="center"/>
          </w:tcPr>
          <w:p w14:paraId="74E8125A">
            <w:pPr>
              <w:spacing w:after="0" w:line="240" w:lineRule="auto"/>
            </w:pPr>
            <w:r>
              <w:t>Tishlaringizni kuniga ikki marta ftorli tish pastasi bilan yuving.</w:t>
            </w:r>
          </w:p>
        </w:tc>
        <w:tc>
          <w:tcPr>
            <w:tcW w:w="1522" w:type="dxa"/>
            <w:vAlign w:val="center"/>
          </w:tcPr>
          <w:p w14:paraId="4A0573B3">
            <w:pPr>
              <w:spacing w:after="0" w:line="240" w:lineRule="auto"/>
            </w:pPr>
            <w:r>
              <w:t>Чистите зубы два раза в день фторсодержащей пастой.</w:t>
            </w:r>
          </w:p>
        </w:tc>
      </w:tr>
      <w:tr w14:paraId="41A13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779E075B">
            <w:pPr>
              <w:spacing w:after="0" w:line="240" w:lineRule="auto"/>
            </w:pPr>
            <w:r>
              <w:t>10. Follow-up</w:t>
            </w:r>
          </w:p>
        </w:tc>
        <w:tc>
          <w:tcPr>
            <w:tcW w:w="1522" w:type="dxa"/>
            <w:vAlign w:val="center"/>
          </w:tcPr>
          <w:p w14:paraId="41046D88">
            <w:pPr>
              <w:spacing w:after="0" w:line="240" w:lineRule="auto"/>
            </w:pPr>
            <w:r>
              <w:t>Would regular dental check-ups help as well?</w:t>
            </w:r>
          </w:p>
        </w:tc>
        <w:tc>
          <w:tcPr>
            <w:tcW w:w="1522" w:type="dxa"/>
            <w:vAlign w:val="center"/>
          </w:tcPr>
          <w:p w14:paraId="1B17E820">
            <w:pPr>
              <w:spacing w:after="0" w:line="240" w:lineRule="auto"/>
            </w:pPr>
            <w:r>
              <w:t>/wʊd ˈreɡjələ ˈdentl ˈtʃek ʌps help əz wel/</w:t>
            </w:r>
          </w:p>
        </w:tc>
        <w:tc>
          <w:tcPr>
            <w:tcW w:w="1522" w:type="dxa"/>
            <w:vAlign w:val="center"/>
          </w:tcPr>
          <w:p w14:paraId="4800C6E8">
            <w:pPr>
              <w:spacing w:after="0" w:line="240" w:lineRule="auto"/>
            </w:pPr>
            <w:r>
              <w:t>Muntazam stomatolog ko‘rigi ham yordam beradimi?</w:t>
            </w:r>
          </w:p>
        </w:tc>
        <w:tc>
          <w:tcPr>
            <w:tcW w:w="1522" w:type="dxa"/>
            <w:vAlign w:val="center"/>
          </w:tcPr>
          <w:p w14:paraId="5307D72A">
            <w:pPr>
              <w:spacing w:after="0" w:line="240" w:lineRule="auto"/>
            </w:pPr>
            <w:r>
              <w:t>Absolutely. If cavities are detected early, they can usually be treated before they cause more serious damage.</w:t>
            </w:r>
          </w:p>
        </w:tc>
        <w:tc>
          <w:tcPr>
            <w:tcW w:w="1522" w:type="dxa"/>
            <w:vAlign w:val="center"/>
          </w:tcPr>
          <w:p w14:paraId="58007996">
            <w:pPr>
              <w:spacing w:after="0" w:line="240" w:lineRule="auto"/>
            </w:pPr>
            <w:r>
              <w:t>Albatta. Kariyes erta aniqlansa, odatda jiddiyroq zarar yetkazishidan oldin davolash mumkin.</w:t>
            </w:r>
          </w:p>
        </w:tc>
        <w:tc>
          <w:tcPr>
            <w:tcW w:w="1522" w:type="dxa"/>
            <w:vAlign w:val="center"/>
          </w:tcPr>
          <w:p w14:paraId="1499C4CC">
            <w:pPr>
              <w:spacing w:after="0" w:line="240" w:lineRule="auto"/>
            </w:pPr>
            <w:r>
              <w:t>Конечно. Если кариес обнаружить рано, его обычно можно вылечить до серьёзного повреждения.</w:t>
            </w:r>
          </w:p>
        </w:tc>
      </w:tr>
    </w:tbl>
    <w:p w14:paraId="63992873">
      <w:pPr>
        <w:pStyle w:val="3"/>
      </w:pPr>
      <w:r>
        <w:t>3. Smart Phrasebookdan foydalanish tartibi</w:t>
      </w:r>
    </w:p>
    <w:p w14:paraId="09C8FB74">
      <w:r>
        <w:t>Opening — bemorning asosiy shikoyati va tish sezuvchanligini aniqlash.</w:t>
      </w:r>
    </w:p>
    <w:p w14:paraId="2E711EBD">
      <w:r>
        <w:t>Symptoms — og‘riq yoki noqulaylikni keltirib chiqaradigan omillar hamda shish va og‘riqlilikni aniqlash.</w:t>
      </w:r>
    </w:p>
    <w:p w14:paraId="4FCCA7CF">
      <w:r>
        <w:t>Clinical Assessment — tishni ko‘zdan kechirish va kariyes belgilarini baholash.</w:t>
      </w:r>
    </w:p>
    <w:p w14:paraId="6C0664D9">
      <w:r>
        <w:t>Diagnosis — dental cariesning dastlabki bosqichini bemorga tushuntirish.</w:t>
      </w:r>
    </w:p>
    <w:p w14:paraId="6F66D353">
      <w:r>
        <w:t>Causes — shirin mahsulotlar, yetarli bo‘lmagan tish tozalash va ftor yetishmasligi kabi omillarni tushuntirish.</w:t>
      </w:r>
    </w:p>
    <w:p w14:paraId="0A5A4F8E">
      <w:r>
        <w:t>Treatment — kariyes bilan zararlangan qismni tozalash va filling bilan tiklash rejasini tushuntirish.</w:t>
      </w:r>
    </w:p>
    <w:p w14:paraId="6E3BDDE4">
      <w:r>
        <w:t>Anaesthesia — muolaja paytida og‘riq sezilsa, local anaesthetic injection qo‘llanishini tushuntirish.</w:t>
      </w:r>
    </w:p>
    <w:p w14:paraId="2C75523E">
      <w:r>
        <w:t>Prevention &amp; Follow-up — og‘iz gigiyenasi, shirinliklarni cheklash va muntazam dental check-up tavsiyalarini berish.</w:t>
      </w:r>
    </w:p>
    <w:sectPr>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53058B"/>
    <w:rsid w:val="707357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18"/>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6E6E6E"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6E6E6E"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3D3D3D" w:themeColor="text1"/>
      <w14:textFill>
        <w14:solidFill>
          <w14:schemeClr w14:val="tx1"/>
        </w14:solidFill>
      </w14:textFill>
    </w:rPr>
  </w:style>
  <w:style w:type="character" w:customStyle="1" w:styleId="51">
    <w:name w:val="Quote Char"/>
    <w:basedOn w:val="11"/>
    <w:link w:val="50"/>
    <w:uiPriority w:val="29"/>
    <w:rPr>
      <w:i/>
      <w:iCs/>
      <w:color w:val="3D3D3D"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6E6E6E"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6E6E6E"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9E9E9E"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2E2E2E" w:themeColor="text1" w:themeShade="BF"/>
    </w:rPr>
    <w:tblPr>
      <w:tblBorders>
        <w:top w:val="single" w:color="3D3D3D" w:themeColor="text1" w:sz="8" w:space="0"/>
        <w:bottom w:val="single" w:color="3D3D3D"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3D3D3D" w:themeColor="text1" w:sz="8" w:space="0"/>
          <w:left w:val="nil"/>
          <w:bottom w:val="single" w:color="3D3D3D" w:themeColor="text1" w:sz="8" w:space="0"/>
          <w:right w:val="nil"/>
          <w:insideH w:val="nil"/>
          <w:insideV w:val="nil"/>
        </w:tcBorders>
      </w:tcPr>
    </w:tblStylePr>
    <w:tblStylePr w:type="lastRow">
      <w:pPr>
        <w:spacing w:before="0" w:after="0" w:line="240" w:lineRule="auto"/>
      </w:pPr>
      <w:rPr>
        <w:b/>
        <w:bCs/>
      </w:rPr>
      <w:tcPr>
        <w:tcBorders>
          <w:top w:val="single" w:color="3D3D3D" w:themeColor="text1" w:sz="8" w:space="0"/>
          <w:left w:val="nil"/>
          <w:bottom w:val="single" w:color="3D3D3D"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FCFCF" w:themeFill="text1" w:themeFillTint="3F"/>
      </w:tcPr>
    </w:tblStylePr>
    <w:tblStylePr w:type="band1Horz">
      <w:tcPr>
        <w:tcBorders>
          <w:left w:val="nil"/>
          <w:right w:val="nil"/>
          <w:insideH w:val="nil"/>
          <w:insideV w:val="nil"/>
        </w:tcBorders>
        <w:shd w:val="clear" w:color="auto" w:fill="CFCFC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3D3D3D" w:themeColor="text1" w:sz="8" w:space="0"/>
        <w:left w:val="single" w:color="3D3D3D" w:themeColor="text1" w:sz="8" w:space="0"/>
        <w:bottom w:val="single" w:color="3D3D3D" w:themeColor="text1" w:sz="8" w:space="0"/>
        <w:right w:val="single" w:color="3D3D3D" w:themeColor="text1"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3D3D3D" w:themeFill="text1"/>
      </w:tcPr>
    </w:tblStylePr>
    <w:tblStylePr w:type="lastRow">
      <w:pPr>
        <w:spacing w:before="0" w:after="0" w:line="240" w:lineRule="auto"/>
      </w:pPr>
      <w:rPr>
        <w:b/>
        <w:bCs/>
      </w:rPr>
      <w:tcPr>
        <w:tcBorders>
          <w:top w:val="double" w:color="3D3D3D" w:themeColor="text1" w:sz="6" w:space="0"/>
          <w:left w:val="single" w:color="3D3D3D" w:themeColor="text1" w:sz="8" w:space="0"/>
          <w:bottom w:val="single" w:color="3D3D3D" w:themeColor="text1" w:sz="8" w:space="0"/>
          <w:right w:val="single" w:color="3D3D3D" w:themeColor="text1" w:sz="8" w:space="0"/>
        </w:tcBorders>
      </w:tcPr>
    </w:tblStylePr>
    <w:tblStylePr w:type="firstCol">
      <w:rPr>
        <w:b/>
        <w:bCs/>
      </w:rPr>
    </w:tblStylePr>
    <w:tblStylePr w:type="lastCol">
      <w:rPr>
        <w:b/>
        <w:bCs/>
      </w:rPr>
    </w:tblStylePr>
    <w:tblStylePr w:type="band1Vert">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tblStylePr w:type="band1Horz">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3D3D3D" w:themeColor="text1" w:sz="8" w:space="0"/>
        <w:left w:val="single" w:color="3D3D3D" w:themeColor="text1" w:sz="8" w:space="0"/>
        <w:bottom w:val="single" w:color="3D3D3D" w:themeColor="text1" w:sz="8" w:space="0"/>
        <w:right w:val="single" w:color="3D3D3D" w:themeColor="text1" w:sz="8" w:space="0"/>
        <w:insideH w:val="single" w:color="3D3D3D" w:themeColor="text1" w:sz="8" w:space="0"/>
        <w:insideV w:val="single" w:color="3D3D3D"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3D3D3D" w:themeColor="text1" w:sz="8" w:space="0"/>
          <w:left w:val="single" w:color="3D3D3D" w:themeColor="text1" w:sz="8" w:space="0"/>
          <w:bottom w:val="single" w:color="3D3D3D" w:themeColor="text1" w:sz="18" w:space="0"/>
          <w:right w:val="single" w:color="3D3D3D"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3D3D3D" w:themeColor="text1" w:sz="6" w:space="0"/>
          <w:left w:val="single" w:color="3D3D3D" w:themeColor="text1" w:sz="8" w:space="0"/>
          <w:bottom w:val="single" w:color="3D3D3D" w:themeColor="text1" w:sz="8" w:space="0"/>
          <w:right w:val="single" w:color="3D3D3D"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tblStylePr w:type="band1Vert">
      <w:tcPr>
        <w:tcBorders>
          <w:top w:val="single" w:color="3D3D3D" w:themeColor="text1" w:sz="8" w:space="0"/>
          <w:left w:val="single" w:color="3D3D3D" w:themeColor="text1" w:sz="8" w:space="0"/>
          <w:bottom w:val="single" w:color="3D3D3D" w:themeColor="text1" w:sz="8" w:space="0"/>
          <w:right w:val="single" w:color="3D3D3D" w:themeColor="text1" w:sz="8" w:space="0"/>
        </w:tcBorders>
        <w:shd w:val="clear" w:color="auto" w:fill="CFCFCF" w:themeFill="text1" w:themeFillTint="3F"/>
      </w:tcPr>
    </w:tblStylePr>
    <w:tblStylePr w:type="band1Horz">
      <w:tcPr>
        <w:tcBorders>
          <w:top w:val="single" w:color="3D3D3D" w:themeColor="text1" w:sz="8" w:space="0"/>
          <w:left w:val="single" w:color="3D3D3D" w:themeColor="text1" w:sz="8" w:space="0"/>
          <w:bottom w:val="single" w:color="3D3D3D" w:themeColor="text1" w:sz="8" w:space="0"/>
          <w:right w:val="single" w:color="3D3D3D" w:themeColor="text1" w:sz="8" w:space="0"/>
          <w:insideV w:val="single" w:sz="8" w:space="0"/>
        </w:tcBorders>
        <w:shd w:val="clear" w:color="auto" w:fill="CFCFCF" w:themeFill="text1" w:themeFillTint="3F"/>
      </w:tcPr>
    </w:tblStylePr>
    <w:tblStylePr w:type="band2Horz">
      <w:tcPr>
        <w:tcBorders>
          <w:top w:val="single" w:color="3D3D3D" w:themeColor="text1" w:sz="8" w:space="0"/>
          <w:left w:val="single" w:color="3D3D3D" w:themeColor="text1" w:sz="8" w:space="0"/>
          <w:bottom w:val="single" w:color="3D3D3D" w:themeColor="text1" w:sz="8" w:space="0"/>
          <w:right w:val="single" w:color="3D3D3D"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single" w:color="6D6D6D"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nil"/>
          <w:insideV w:val="nil"/>
        </w:tcBorders>
        <w:shd w:val="clear" w:color="auto" w:fill="3D3D3D" w:themeFill="text1"/>
      </w:tcPr>
    </w:tblStylePr>
    <w:tblStylePr w:type="lastRow">
      <w:pPr>
        <w:spacing w:before="0" w:after="0" w:line="240" w:lineRule="auto"/>
      </w:pPr>
      <w:rPr>
        <w:b/>
        <w:bCs/>
      </w:rPr>
      <w:tcPr>
        <w:tcBorders>
          <w:top w:val="double" w:color="6D6D6D" w:themeColor="text1" w:themeTint="BF" w:sz="6" w:space="0"/>
          <w:left w:val="single" w:color="6D6D6D" w:themeColor="text1" w:themeTint="BF" w:sz="8" w:space="0"/>
          <w:bottom w:val="single" w:color="6D6D6D" w:themeColor="text1" w:themeTint="BF" w:sz="8" w:space="0"/>
          <w:right w:val="single" w:color="6D6D6D"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CFCFCF" w:themeFill="text1" w:themeFillTint="3F"/>
      </w:tcPr>
    </w:tblStylePr>
    <w:tblStylePr w:type="band1Horz">
      <w:tcPr>
        <w:tcBorders>
          <w:insideH w:val="nil"/>
          <w:insideV w:val="nil"/>
        </w:tcBorders>
        <w:shd w:val="clear" w:color="auto" w:fill="CFCFC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3D3D3D"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3D3D3D" w:themeFill="text1"/>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3D3D3D" w:themeFill="text1"/>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3D3D3D" w:themeColor="text1"/>
      <w14:textFill>
        <w14:solidFill>
          <w14:schemeClr w14:val="tx1"/>
        </w14:solidFill>
      </w14:textFill>
    </w:rPr>
    <w:tblPr>
      <w:tblBorders>
        <w:top w:val="single" w:color="3D3D3D" w:themeColor="text1" w:sz="8" w:space="0"/>
        <w:bottom w:val="single" w:color="3D3D3D"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3D3D3D" w:themeColor="text1" w:sz="8" w:space="0"/>
        </w:tcBorders>
      </w:tcPr>
    </w:tblStylePr>
    <w:tblStylePr w:type="lastRow">
      <w:rPr>
        <w:b/>
        <w:bCs/>
        <w:color w:val="1F497D" w:themeColor="text2"/>
        <w14:textFill>
          <w14:solidFill>
            <w14:schemeClr w14:val="tx2"/>
          </w14:solidFill>
        </w14:textFill>
      </w:rPr>
      <w:tcPr>
        <w:tcBorders>
          <w:top w:val="single" w:color="3D3D3D" w:themeColor="text1" w:sz="8" w:space="0"/>
          <w:bottom w:val="single" w:color="3D3D3D" w:themeColor="text1" w:sz="8" w:space="0"/>
        </w:tcBorders>
      </w:tcPr>
    </w:tblStylePr>
    <w:tblStylePr w:type="firstCol">
      <w:rPr>
        <w:b/>
        <w:bCs/>
      </w:rPr>
    </w:tblStylePr>
    <w:tblStylePr w:type="lastCol">
      <w:rPr>
        <w:b/>
        <w:bCs/>
      </w:rPr>
      <w:tcPr>
        <w:tcBorders>
          <w:top w:val="single" w:color="3D3D3D" w:themeColor="text1" w:sz="8" w:space="0"/>
          <w:bottom w:val="single" w:color="3D3D3D" w:themeColor="text1" w:sz="8" w:space="0"/>
        </w:tcBorders>
      </w:tcPr>
    </w:tblStylePr>
    <w:tblStylePr w:type="band1Vert">
      <w:tcPr>
        <w:shd w:val="clear" w:color="auto" w:fill="CFCFCF" w:themeFill="text1" w:themeFillTint="3F"/>
      </w:tcPr>
    </w:tblStylePr>
    <w:tblStylePr w:type="band1Horz">
      <w:tcPr>
        <w:shd w:val="clear" w:color="auto" w:fill="CFCFCF" w:themeFill="text1" w:themeFillTint="3F"/>
      </w:tcPr>
    </w:tblStylePr>
  </w:style>
  <w:style w:type="table" w:styleId="102">
    <w:name w:val="Medium List 1 Accent 1"/>
    <w:basedOn w:val="12"/>
    <w:uiPriority w:val="65"/>
    <w:pPr>
      <w:spacing w:after="0" w:line="240" w:lineRule="auto"/>
    </w:pPr>
    <w:rPr>
      <w:color w:val="3D3D3D"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3D3D3D"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3D3D3D"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3D3D3D"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3D3D3D"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3D3D3D"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3D3D3D" w:themeColor="text1" w:sz="8" w:space="0"/>
        <w:left w:val="single" w:color="3D3D3D" w:themeColor="text1" w:sz="8" w:space="0"/>
        <w:bottom w:val="single" w:color="3D3D3D" w:themeColor="text1" w:sz="8" w:space="0"/>
        <w:right w:val="single" w:color="3D3D3D"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3D3D3D" w:themeColor="text1" w:sz="24" w:space="0"/>
          <w:right w:val="nil"/>
          <w:insideH w:val="nil"/>
          <w:insideV w:val="nil"/>
        </w:tcBorders>
        <w:shd w:val="clear" w:color="auto" w:fill="FFFAEF" w:themeFill="background1"/>
      </w:tcPr>
    </w:tblStylePr>
    <w:tblStylePr w:type="lastRow">
      <w:tcPr>
        <w:tcBorders>
          <w:top w:val="single" w:color="3D3D3D" w:themeColor="text1"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3D3D3D" w:themeColor="text1" w:sz="8" w:space="0"/>
          <w:insideH w:val="nil"/>
          <w:insideV w:val="nil"/>
        </w:tcBorders>
        <w:shd w:val="clear" w:color="auto" w:fill="FFFAEF" w:themeFill="background1"/>
      </w:tcPr>
    </w:tblStylePr>
    <w:tblStylePr w:type="lastCol">
      <w:tcPr>
        <w:tcBorders>
          <w:top w:val="nil"/>
          <w:left w:val="single" w:color="3D3D3D" w:themeColor="text1"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CFCFCF" w:themeFill="text1" w:themeFillTint="3F"/>
      </w:tcPr>
    </w:tblStylePr>
    <w:tblStylePr w:type="band1Horz">
      <w:tcPr>
        <w:tcBorders>
          <w:top w:val="nil"/>
          <w:bottom w:val="nil"/>
          <w:insideH w:val="nil"/>
          <w:insideV w:val="nil"/>
        </w:tcBorders>
        <w:shd w:val="clear" w:color="auto" w:fill="CFCFCF" w:themeFill="text1" w:themeFillTint="3F"/>
      </w:tcPr>
    </w:tblStylePr>
    <w:tblStylePr w:type="nwCell">
      <w:tcPr>
        <w:shd w:val="clear" w:color="auto" w:fill="FFFAE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AEF" w:themeFill="background1"/>
      </w:tcPr>
    </w:tblStylePr>
    <w:tblStylePr w:type="lastRow">
      <w:tcPr>
        <w:tcBorders>
          <w:top w:val="single" w:color="4F81BD" w:themeColor="accent1"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4F81BD" w:themeColor="accent1" w:sz="8" w:space="0"/>
          <w:insideH w:val="nil"/>
          <w:insideV w:val="nil"/>
        </w:tcBorders>
        <w:shd w:val="clear" w:color="auto" w:fill="FFFAEF" w:themeFill="background1"/>
      </w:tcPr>
    </w:tblStylePr>
    <w:tblStylePr w:type="lastCol">
      <w:tcPr>
        <w:tcBorders>
          <w:top w:val="nil"/>
          <w:left w:val="single" w:color="4F81BD" w:themeColor="accent1"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AE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AEF" w:themeFill="background1"/>
      </w:tcPr>
    </w:tblStylePr>
    <w:tblStylePr w:type="lastRow">
      <w:tcPr>
        <w:tcBorders>
          <w:top w:val="single" w:color="C0504D" w:themeColor="accent2"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C0504D" w:themeColor="accent2" w:sz="8" w:space="0"/>
          <w:insideH w:val="nil"/>
          <w:insideV w:val="nil"/>
        </w:tcBorders>
        <w:shd w:val="clear" w:color="auto" w:fill="FFFAEF" w:themeFill="background1"/>
      </w:tcPr>
    </w:tblStylePr>
    <w:tblStylePr w:type="lastCol">
      <w:tcPr>
        <w:tcBorders>
          <w:top w:val="nil"/>
          <w:left w:val="single" w:color="C0504D" w:themeColor="accent2"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AE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AEF" w:themeFill="background1"/>
      </w:tcPr>
    </w:tblStylePr>
    <w:tblStylePr w:type="lastRow">
      <w:tcPr>
        <w:tcBorders>
          <w:top w:val="single" w:color="9BBB59" w:themeColor="accent3"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9BBB59" w:themeColor="accent3" w:sz="8" w:space="0"/>
          <w:insideH w:val="nil"/>
          <w:insideV w:val="nil"/>
        </w:tcBorders>
        <w:shd w:val="clear" w:color="auto" w:fill="FFFAEF" w:themeFill="background1"/>
      </w:tcPr>
    </w:tblStylePr>
    <w:tblStylePr w:type="lastCol">
      <w:tcPr>
        <w:tcBorders>
          <w:top w:val="nil"/>
          <w:left w:val="single" w:color="9BBB59" w:themeColor="accent3"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AE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AEF" w:themeFill="background1"/>
      </w:tcPr>
    </w:tblStylePr>
    <w:tblStylePr w:type="lastRow">
      <w:tcPr>
        <w:tcBorders>
          <w:top w:val="single" w:color="8064A2" w:themeColor="accent4"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8064A2" w:themeColor="accent4" w:sz="8" w:space="0"/>
          <w:insideH w:val="nil"/>
          <w:insideV w:val="nil"/>
        </w:tcBorders>
        <w:shd w:val="clear" w:color="auto" w:fill="FFFAEF" w:themeFill="background1"/>
      </w:tcPr>
    </w:tblStylePr>
    <w:tblStylePr w:type="lastCol">
      <w:tcPr>
        <w:tcBorders>
          <w:top w:val="nil"/>
          <w:left w:val="single" w:color="8064A2" w:themeColor="accent4"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AE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AEF" w:themeFill="background1"/>
      </w:tcPr>
    </w:tblStylePr>
    <w:tblStylePr w:type="lastRow">
      <w:tcPr>
        <w:tcBorders>
          <w:top w:val="single" w:color="4BACC6" w:themeColor="accent5"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4BACC6" w:themeColor="accent5" w:sz="8" w:space="0"/>
          <w:insideH w:val="nil"/>
          <w:insideV w:val="nil"/>
        </w:tcBorders>
        <w:shd w:val="clear" w:color="auto" w:fill="FFFAEF" w:themeFill="background1"/>
      </w:tcPr>
    </w:tblStylePr>
    <w:tblStylePr w:type="lastCol">
      <w:tcPr>
        <w:tcBorders>
          <w:top w:val="nil"/>
          <w:left w:val="single" w:color="4BACC6" w:themeColor="accent5"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AE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AEF" w:themeFill="background1"/>
      </w:tcPr>
    </w:tblStylePr>
    <w:tblStylePr w:type="lastRow">
      <w:tcPr>
        <w:tcBorders>
          <w:top w:val="single" w:color="F79646" w:themeColor="accent6"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F79646" w:themeColor="accent6" w:sz="8" w:space="0"/>
          <w:insideH w:val="nil"/>
          <w:insideV w:val="nil"/>
        </w:tcBorders>
        <w:shd w:val="clear" w:color="auto" w:fill="FFFAEF" w:themeFill="background1"/>
      </w:tcPr>
    </w:tblStylePr>
    <w:tblStylePr w:type="lastCol">
      <w:tcPr>
        <w:tcBorders>
          <w:top w:val="nil"/>
          <w:left w:val="single" w:color="F79646" w:themeColor="accent6"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AE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single" w:color="6D6D6D" w:themeColor="text1" w:themeTint="BF" w:sz="8" w:space="0"/>
        <w:insideV w:val="single" w:color="6D6D6D" w:themeColor="text1" w:themeTint="BF" w:sz="8" w:space="0"/>
      </w:tblBorders>
      <w:tblCellMar>
        <w:top w:w="0" w:type="dxa"/>
        <w:left w:w="108" w:type="dxa"/>
        <w:bottom w:w="0" w:type="dxa"/>
        <w:right w:w="108" w:type="dxa"/>
      </w:tblCellMar>
    </w:tblPr>
    <w:tcPr>
      <w:shd w:val="clear" w:color="auto" w:fill="CFCFCF" w:themeFill="text1" w:themeFillTint="3F"/>
    </w:tcPr>
    <w:tblStylePr w:type="firstRow">
      <w:rPr>
        <w:b/>
        <w:bCs/>
      </w:rPr>
    </w:tblStylePr>
    <w:tblStylePr w:type="lastRow">
      <w:rPr>
        <w:b/>
        <w:bCs/>
      </w:rPr>
      <w:tcPr>
        <w:tcBorders>
          <w:top w:val="single" w:color="6D6D6D" w:themeColor="text1" w:themeTint="BF" w:sz="18" w:space="0"/>
        </w:tcBorders>
      </w:tcPr>
    </w:tblStylePr>
    <w:tblStylePr w:type="firstCol">
      <w:rPr>
        <w:b/>
        <w:bCs/>
      </w:rPr>
    </w:tblStylePr>
    <w:tblStylePr w:type="lastCol">
      <w:rPr>
        <w:b/>
        <w:bCs/>
      </w:rPr>
    </w:tblStylePr>
    <w:tblStylePr w:type="band1Vert">
      <w:tcPr>
        <w:shd w:val="clear" w:color="auto" w:fill="9E9E9E" w:themeFill="text1" w:themeFillTint="7F"/>
      </w:tcPr>
    </w:tblStylePr>
    <w:tblStylePr w:type="band1Horz">
      <w:tcPr>
        <w:shd w:val="clear" w:color="auto" w:fill="9E9E9E"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3D3D3D" w:themeColor="text1" w:sz="8" w:space="0"/>
        <w:left w:val="single" w:color="3D3D3D" w:themeColor="text1" w:sz="8" w:space="0"/>
        <w:bottom w:val="single" w:color="3D3D3D" w:themeColor="text1" w:sz="8" w:space="0"/>
        <w:right w:val="single" w:color="3D3D3D" w:themeColor="text1" w:sz="8" w:space="0"/>
        <w:insideH w:val="single" w:color="3D3D3D" w:themeColor="text1" w:sz="8" w:space="0"/>
        <w:insideV w:val="single" w:color="3D3D3D" w:themeColor="text1" w:sz="8" w:space="0"/>
      </w:tblBorders>
      <w:tblCellMar>
        <w:top w:w="0" w:type="dxa"/>
        <w:left w:w="108" w:type="dxa"/>
        <w:bottom w:w="0" w:type="dxa"/>
        <w:right w:w="108" w:type="dxa"/>
      </w:tblCellMar>
    </w:tblPr>
    <w:tcPr>
      <w:shd w:val="clear" w:color="auto" w:fill="CFCFCF" w:themeFill="text1" w:themeFillTint="3F"/>
    </w:tcPr>
    <w:tblStylePr w:type="firstRow">
      <w:rPr>
        <w:b/>
        <w:bCs/>
        <w:color w:val="3D3D3D" w:themeColor="text1"/>
        <w14:textFill>
          <w14:solidFill>
            <w14:schemeClr w14:val="tx1"/>
          </w14:solidFill>
        </w14:textFill>
      </w:rPr>
      <w:tcPr>
        <w:shd w:val="clear" w:color="auto" w:fill="EBEBEB" w:themeFill="text1"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8D8D8" w:themeFill="text1" w:themeFillTint="33"/>
      </w:tcPr>
    </w:tblStylePr>
    <w:tblStylePr w:type="band1Vert">
      <w:tcPr>
        <w:shd w:val="clear" w:color="auto" w:fill="9E9E9E" w:themeFill="text1" w:themeFillTint="7F"/>
      </w:tcPr>
    </w:tblStylePr>
    <w:tblStylePr w:type="band1Horz">
      <w:tcPr>
        <w:tcBorders>
          <w:insideH w:val="single" w:sz="6" w:space="0"/>
          <w:insideV w:val="single" w:sz="6" w:space="0"/>
        </w:tcBorders>
        <w:shd w:val="clear" w:color="auto" w:fill="9E9E9E" w:themeFill="text1" w:themeFillTint="7F"/>
      </w:tcPr>
    </w:tblStylePr>
    <w:tblStylePr w:type="nwCell">
      <w:tcPr>
        <w:shd w:val="clear" w:color="auto" w:fill="FFFAE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3D3D3D" w:themeColor="text1"/>
        <w14:textFill>
          <w14:solidFill>
            <w14:schemeClr w14:val="tx1"/>
          </w14:solidFill>
        </w14:textFill>
      </w:rPr>
      <w:tcPr>
        <w:shd w:val="clear" w:color="auto" w:fill="EDF2F8" w:themeFill="accent1"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AE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3D3D3D" w:themeColor="text1"/>
        <w14:textFill>
          <w14:solidFill>
            <w14:schemeClr w14:val="tx1"/>
          </w14:solidFill>
        </w14:textFill>
      </w:rPr>
      <w:tcPr>
        <w:shd w:val="clear" w:color="auto" w:fill="F8EDED" w:themeFill="accent2"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AE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3D3D3D" w:themeColor="text1"/>
        <w14:textFill>
          <w14:solidFill>
            <w14:schemeClr w14:val="tx1"/>
          </w14:solidFill>
        </w14:textFill>
      </w:rPr>
      <w:tcPr>
        <w:shd w:val="clear" w:color="auto" w:fill="F5F8EE" w:themeFill="accent3"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AE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3D3D3D" w:themeColor="text1"/>
        <w14:textFill>
          <w14:solidFill>
            <w14:schemeClr w14:val="tx1"/>
          </w14:solidFill>
        </w14:textFill>
      </w:rPr>
      <w:tcPr>
        <w:shd w:val="clear" w:color="auto" w:fill="F2EFF5" w:themeFill="accent4"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AE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3D3D3D" w:themeColor="text1"/>
        <w14:textFill>
          <w14:solidFill>
            <w14:schemeClr w14:val="tx1"/>
          </w14:solidFill>
        </w14:textFill>
      </w:rPr>
      <w:tcPr>
        <w:shd w:val="clear" w:color="auto" w:fill="EDF6F9" w:themeFill="accent5"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AE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3D3D3D" w:themeColor="text1"/>
        <w14:textFill>
          <w14:solidFill>
            <w14:schemeClr w14:val="tx1"/>
          </w14:solidFill>
        </w14:textFill>
      </w:rPr>
      <w:tcPr>
        <w:shd w:val="clear" w:color="auto" w:fill="FEF4EC" w:themeFill="accent6"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AEF" w:themeFill="background1"/>
      </w:tcPr>
    </w:tblStylePr>
  </w:style>
  <w:style w:type="table" w:styleId="129">
    <w:name w:val="Medium Grid 3"/>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CFCFCF" w:themeFill="text1"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3D3D3D" w:themeFill="text1"/>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3D3D3D" w:themeFill="text1"/>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3D3D3D" w:themeFill="text1"/>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3D3D3D" w:themeFill="text1"/>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9E9E9E" w:themeFill="text1"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9E9E9E" w:themeFill="text1" w:themeFillTint="7F"/>
      </w:tcPr>
    </w:tblStylePr>
  </w:style>
  <w:style w:type="table" w:styleId="130">
    <w:name w:val="Medium Grid 3 Accent 1"/>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4F81BD" w:themeFill="accent1"/>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4F81BD" w:themeFill="accent1"/>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4F81BD" w:themeFill="accent1"/>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4F81BD" w:themeFill="accent1"/>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A7C0DE" w:themeFill="accent1"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C0504D" w:themeFill="accent2"/>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C0504D" w:themeFill="accent2"/>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C0504D" w:themeFill="accent2"/>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C0504D" w:themeFill="accent2"/>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DFA7A6" w:themeFill="accent2"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9BBB59" w:themeFill="accent3"/>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9BBB59" w:themeFill="accent3"/>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9BBB59" w:themeFill="accent3"/>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9BBB59" w:themeFill="accent3"/>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CDDDAC" w:themeFill="accent3"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8064A2" w:themeFill="accent4"/>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8064A2" w:themeFill="accent4"/>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8064A2" w:themeFill="accent4"/>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8064A2" w:themeFill="accent4"/>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BFB1D0" w:themeFill="accent4"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4BACC6" w:themeFill="accent5"/>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4BACC6" w:themeFill="accent5"/>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4BACC6" w:themeFill="accent5"/>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4BACC6" w:themeFill="accent5"/>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A5D5E2" w:themeFill="accent5"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F79646" w:themeFill="accent6"/>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F79646" w:themeFill="accent6"/>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F79646" w:themeFill="accent6"/>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F79646" w:themeFill="accent6"/>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FBCAA2" w:themeFill="accent6"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3D3D3D" w:themeFill="text1"/>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1E1E1E" w:themeFill="text1" w:themeFillShade="7F"/>
      </w:tcPr>
    </w:tblStylePr>
    <w:tblStylePr w:type="firstCol">
      <w:tcPr>
        <w:tcBorders>
          <w:top w:val="nil"/>
          <w:left w:val="nil"/>
          <w:bottom w:val="nil"/>
          <w:right w:val="single" w:color="FFFAEF" w:themeColor="background1" w:sz="18" w:space="0"/>
          <w:insideH w:val="nil"/>
          <w:insideV w:val="nil"/>
        </w:tcBorders>
        <w:shd w:val="clear" w:color="auto" w:fill="2D2D2D" w:themeFill="text1" w:themeFillShade="BF"/>
      </w:tcPr>
    </w:tblStylePr>
    <w:tblStylePr w:type="lastCol">
      <w:tcPr>
        <w:tcBorders>
          <w:top w:val="nil"/>
          <w:left w:val="single" w:color="FFFAEF" w:themeColor="background1" w:sz="18" w:space="0"/>
          <w:bottom w:val="nil"/>
          <w:right w:val="nil"/>
          <w:insideH w:val="nil"/>
          <w:insideV w:val="nil"/>
        </w:tcBorders>
        <w:shd w:val="clear" w:color="auto" w:fill="2D2D2D" w:themeFill="text1" w:themeFillShade="BF"/>
      </w:tcPr>
    </w:tblStylePr>
    <w:tblStylePr w:type="band1Vert">
      <w:tcPr>
        <w:tcBorders>
          <w:top w:val="nil"/>
          <w:left w:val="nil"/>
          <w:bottom w:val="nil"/>
          <w:right w:val="nil"/>
          <w:insideH w:val="nil"/>
          <w:insideV w:val="nil"/>
        </w:tcBorders>
        <w:shd w:val="clear" w:color="auto" w:fill="2D2D2D" w:themeFill="text1" w:themeFillShade="BF"/>
      </w:tcPr>
    </w:tblStylePr>
    <w:tblStylePr w:type="band1Horz">
      <w:tcPr>
        <w:tcBorders>
          <w:top w:val="nil"/>
          <w:left w:val="nil"/>
          <w:bottom w:val="nil"/>
          <w:right w:val="nil"/>
          <w:insideH w:val="nil"/>
          <w:insideV w:val="nil"/>
        </w:tcBorders>
        <w:shd w:val="clear" w:color="auto" w:fill="2D2D2D" w:themeFill="text1" w:themeFillShade="BF"/>
      </w:tcPr>
    </w:tblStylePr>
  </w:style>
  <w:style w:type="table" w:styleId="137">
    <w:name w:val="Dark List Accent 1"/>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AEF" w:themeColor="background1" w:sz="18" w:space="0"/>
          <w:insideH w:val="nil"/>
          <w:insideV w:val="nil"/>
        </w:tcBorders>
        <w:shd w:val="clear" w:color="auto" w:fill="366091" w:themeFill="accent1" w:themeFillShade="BF"/>
      </w:tcPr>
    </w:tblStylePr>
    <w:tblStylePr w:type="lastCol">
      <w:tcPr>
        <w:tcBorders>
          <w:top w:val="nil"/>
          <w:left w:val="single" w:color="FFFAE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AEF" w:themeColor="background1" w:sz="18" w:space="0"/>
          <w:insideH w:val="nil"/>
          <w:insideV w:val="nil"/>
        </w:tcBorders>
        <w:shd w:val="clear" w:color="auto" w:fill="943734" w:themeFill="accent2" w:themeFillShade="BF"/>
      </w:tcPr>
    </w:tblStylePr>
    <w:tblStylePr w:type="lastCol">
      <w:tcPr>
        <w:tcBorders>
          <w:top w:val="nil"/>
          <w:left w:val="single" w:color="FFFAE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AEF" w:themeColor="background1" w:sz="18" w:space="0"/>
          <w:insideH w:val="nil"/>
          <w:insideV w:val="nil"/>
        </w:tcBorders>
        <w:shd w:val="clear" w:color="auto" w:fill="76923C" w:themeFill="accent3" w:themeFillShade="BF"/>
      </w:tcPr>
    </w:tblStylePr>
    <w:tblStylePr w:type="lastCol">
      <w:tcPr>
        <w:tcBorders>
          <w:top w:val="nil"/>
          <w:left w:val="single" w:color="FFFAE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AEF" w:themeColor="background1" w:sz="18" w:space="0"/>
          <w:insideH w:val="nil"/>
          <w:insideV w:val="nil"/>
        </w:tcBorders>
        <w:shd w:val="clear" w:color="auto" w:fill="5F497A" w:themeFill="accent4" w:themeFillShade="BF"/>
      </w:tcPr>
    </w:tblStylePr>
    <w:tblStylePr w:type="lastCol">
      <w:tcPr>
        <w:tcBorders>
          <w:top w:val="nil"/>
          <w:left w:val="single" w:color="FFFAE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AEF" w:themeColor="background1" w:sz="18" w:space="0"/>
          <w:insideH w:val="nil"/>
          <w:insideV w:val="nil"/>
        </w:tcBorders>
        <w:shd w:val="clear" w:color="auto" w:fill="31849B" w:themeFill="accent5" w:themeFillShade="BF"/>
      </w:tcPr>
    </w:tblStylePr>
    <w:tblStylePr w:type="lastCol">
      <w:tcPr>
        <w:tcBorders>
          <w:top w:val="nil"/>
          <w:left w:val="single" w:color="FFFAE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AEF" w:themeColor="background1" w:sz="18" w:space="0"/>
          <w:insideH w:val="nil"/>
          <w:insideV w:val="nil"/>
        </w:tcBorders>
        <w:shd w:val="clear" w:color="auto" w:fill="E36C09" w:themeFill="accent6" w:themeFillShade="BF"/>
      </w:tcPr>
    </w:tblStylePr>
    <w:tblStylePr w:type="lastCol">
      <w:tcPr>
        <w:tcBorders>
          <w:top w:val="nil"/>
          <w:left w:val="single" w:color="FFFAE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3D3D3D" w:themeColor="text1" w:sz="4" w:space="0"/>
        <w:bottom w:val="single" w:color="3D3D3D" w:themeColor="text1" w:sz="4" w:space="0"/>
        <w:right w:val="single" w:color="3D3D3D" w:themeColor="text1"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BEBEB"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42424" w:themeFill="text1"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42424" w:themeFill="text1"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D2D2D" w:themeFill="text1" w:themeFillShade="BF"/>
      </w:tcPr>
    </w:tblStylePr>
    <w:tblStylePr w:type="band1Vert">
      <w:tcPr>
        <w:shd w:val="clear" w:color="auto" w:fill="B1B1B1" w:themeFill="text1" w:themeFillTint="66"/>
      </w:tcPr>
    </w:tblStylePr>
    <w:tblStylePr w:type="band1Horz">
      <w:tcPr>
        <w:shd w:val="clear" w:color="auto" w:fill="9E9E9E" w:themeFill="text1"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B4D74" w:themeFill="accent1"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772C2A" w:themeFill="accent2"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3D3D3D"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5E7530" w:themeFill="accent3"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3D3D3D"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4C3A62" w:themeFill="accent4"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3D3D3D"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76A7C" w:themeFill="accent5"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3D3D3D"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B65607" w:themeFill="accent6"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50">
    <w:name w:val="Colorful List"/>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BEBEB" w:themeFill="text1"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FCFCF" w:themeFill="text1" w:themeFillTint="3F"/>
      </w:tcPr>
    </w:tblStylePr>
    <w:tblStylePr w:type="band1Horz">
      <w:tcPr>
        <w:shd w:val="clear" w:color="auto" w:fill="D8D8D8" w:themeFill="text1" w:themeFillTint="33"/>
      </w:tcPr>
    </w:tblStylePr>
  </w:style>
  <w:style w:type="table" w:styleId="151">
    <w:name w:val="Colorful List Accent 1"/>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664E82" w:themeFill="accent4" w:themeFillShade="CC"/>
      </w:tcPr>
    </w:tblStylePr>
    <w:tblStylePr w:type="lastRow">
      <w:rPr>
        <w:b/>
        <w:bCs/>
        <w:color w:val="664F83" w:themeColor="accent4"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7E9C40" w:themeFill="accent3" w:themeFillShade="CC"/>
      </w:tcPr>
    </w:tblStylePr>
    <w:tblStylePr w:type="lastRow">
      <w:rPr>
        <w:b/>
        <w:bCs/>
        <w:color w:val="7E9D40" w:themeColor="accent3"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F3730A" w:themeFill="accent6" w:themeFillShade="CC"/>
      </w:tcPr>
    </w:tblStylePr>
    <w:tblStylePr w:type="lastRow">
      <w:rPr>
        <w:b/>
        <w:bCs/>
        <w:color w:val="F3740B" w:themeColor="accent6"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348DA5" w:themeFill="accent5" w:themeFillShade="CC"/>
      </w:tcPr>
    </w:tblStylePr>
    <w:tblStylePr w:type="lastRow">
      <w:rPr>
        <w:b/>
        <w:bCs/>
        <w:color w:val="358EA6" w:themeColor="accent5"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8D8D8" w:themeFill="text1" w:themeFillTint="33"/>
    </w:tcPr>
    <w:tblStylePr w:type="firstRow">
      <w:rPr>
        <w:b/>
        <w:bCs/>
      </w:rPr>
      <w:tcPr>
        <w:shd w:val="clear" w:color="auto" w:fill="B1B1B1" w:themeFill="text1" w:themeFillTint="66"/>
      </w:tcPr>
    </w:tblStylePr>
    <w:tblStylePr w:type="lastRow">
      <w:rPr>
        <w:b/>
        <w:bCs/>
        <w:color w:val="3D3D3D" w:themeColor="text1"/>
        <w14:textFill>
          <w14:solidFill>
            <w14:schemeClr w14:val="tx1"/>
          </w14:solidFill>
        </w14:textFill>
      </w:rPr>
      <w:tcPr>
        <w:shd w:val="clear" w:color="auto" w:fill="B1B1B1" w:themeFill="text1" w:themeFillTint="66"/>
      </w:tcPr>
    </w:tblStylePr>
    <w:tblStylePr w:type="firstCol">
      <w:rPr>
        <w:color w:val="FFFAEF" w:themeColor="background1"/>
        <w14:textFill>
          <w14:solidFill>
            <w14:schemeClr w14:val="bg1"/>
          </w14:solidFill>
        </w14:textFill>
      </w:rPr>
      <w:tcPr>
        <w:shd w:val="clear" w:color="auto" w:fill="2D2D2D" w:themeFill="text1" w:themeFillShade="BF"/>
      </w:tcPr>
    </w:tblStylePr>
    <w:tblStylePr w:type="lastCol">
      <w:rPr>
        <w:color w:val="FFFAEF" w:themeColor="background1"/>
        <w14:textFill>
          <w14:solidFill>
            <w14:schemeClr w14:val="bg1"/>
          </w14:solidFill>
        </w14:textFill>
      </w:rPr>
      <w:tcPr>
        <w:shd w:val="clear" w:color="auto" w:fill="2D2D2D" w:themeFill="text1" w:themeFillShade="BF"/>
      </w:tcPr>
    </w:tblStylePr>
    <w:tblStylePr w:type="band1Vert">
      <w:tcPr>
        <w:shd w:val="clear" w:color="auto" w:fill="9E9E9E" w:themeFill="text1" w:themeFillTint="7F"/>
      </w:tcPr>
    </w:tblStylePr>
    <w:tblStylePr w:type="band1Horz">
      <w:tcPr>
        <w:shd w:val="clear" w:color="auto" w:fill="9E9E9E" w:themeFill="text1" w:themeFillTint="7F"/>
      </w:tcPr>
    </w:tblStylePr>
  </w:style>
  <w:style w:type="table" w:styleId="158">
    <w:name w:val="Colorful Grid Accent 1"/>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3D3D3D" w:themeColor="text1"/>
        <w14:textFill>
          <w14:solidFill>
            <w14:schemeClr w14:val="tx1"/>
          </w14:solidFill>
        </w14:textFill>
      </w:rPr>
      <w:tcPr>
        <w:shd w:val="clear" w:color="auto" w:fill="B8CCE4" w:themeFill="accent1" w:themeFillTint="66"/>
      </w:tcPr>
    </w:tblStylePr>
    <w:tblStylePr w:type="firstCol">
      <w:rPr>
        <w:color w:val="FFFAEF" w:themeColor="background1"/>
        <w14:textFill>
          <w14:solidFill>
            <w14:schemeClr w14:val="bg1"/>
          </w14:solidFill>
        </w14:textFill>
      </w:rPr>
      <w:tcPr>
        <w:shd w:val="clear" w:color="auto" w:fill="366091" w:themeFill="accent1" w:themeFillShade="BF"/>
      </w:tcPr>
    </w:tblStylePr>
    <w:tblStylePr w:type="lastCol">
      <w:rPr>
        <w:color w:val="FFFAE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3D3D3D" w:themeColor="text1"/>
        <w14:textFill>
          <w14:solidFill>
            <w14:schemeClr w14:val="tx1"/>
          </w14:solidFill>
        </w14:textFill>
      </w:rPr>
      <w:tcPr>
        <w:shd w:val="clear" w:color="auto" w:fill="E5B8B7" w:themeFill="accent2" w:themeFillTint="66"/>
      </w:tcPr>
    </w:tblStylePr>
    <w:tblStylePr w:type="firstCol">
      <w:rPr>
        <w:color w:val="FFFAEF" w:themeColor="background1"/>
        <w14:textFill>
          <w14:solidFill>
            <w14:schemeClr w14:val="bg1"/>
          </w14:solidFill>
        </w14:textFill>
      </w:rPr>
      <w:tcPr>
        <w:shd w:val="clear" w:color="auto" w:fill="943734" w:themeFill="accent2" w:themeFillShade="BF"/>
      </w:tcPr>
    </w:tblStylePr>
    <w:tblStylePr w:type="lastCol">
      <w:rPr>
        <w:color w:val="FFFAE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3D3D3D" w:themeColor="text1"/>
        <w14:textFill>
          <w14:solidFill>
            <w14:schemeClr w14:val="tx1"/>
          </w14:solidFill>
        </w14:textFill>
      </w:rPr>
      <w:tcPr>
        <w:shd w:val="clear" w:color="auto" w:fill="D6E3BC" w:themeFill="accent3" w:themeFillTint="66"/>
      </w:tcPr>
    </w:tblStylePr>
    <w:tblStylePr w:type="firstCol">
      <w:rPr>
        <w:color w:val="FFFAEF" w:themeColor="background1"/>
        <w14:textFill>
          <w14:solidFill>
            <w14:schemeClr w14:val="bg1"/>
          </w14:solidFill>
        </w14:textFill>
      </w:rPr>
      <w:tcPr>
        <w:shd w:val="clear" w:color="auto" w:fill="76923C" w:themeFill="accent3" w:themeFillShade="BF"/>
      </w:tcPr>
    </w:tblStylePr>
    <w:tblStylePr w:type="lastCol">
      <w:rPr>
        <w:color w:val="FFFAE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3D3D3D" w:themeColor="text1"/>
        <w14:textFill>
          <w14:solidFill>
            <w14:schemeClr w14:val="tx1"/>
          </w14:solidFill>
        </w14:textFill>
      </w:rPr>
      <w:tcPr>
        <w:shd w:val="clear" w:color="auto" w:fill="CCC0D9" w:themeFill="accent4" w:themeFillTint="66"/>
      </w:tcPr>
    </w:tblStylePr>
    <w:tblStylePr w:type="firstCol">
      <w:rPr>
        <w:color w:val="FFFAEF" w:themeColor="background1"/>
        <w14:textFill>
          <w14:solidFill>
            <w14:schemeClr w14:val="bg1"/>
          </w14:solidFill>
        </w14:textFill>
      </w:rPr>
      <w:tcPr>
        <w:shd w:val="clear" w:color="auto" w:fill="5F497A" w:themeFill="accent4" w:themeFillShade="BF"/>
      </w:tcPr>
    </w:tblStylePr>
    <w:tblStylePr w:type="lastCol">
      <w:rPr>
        <w:color w:val="FFFAE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3D3D3D" w:themeColor="text1"/>
        <w14:textFill>
          <w14:solidFill>
            <w14:schemeClr w14:val="tx1"/>
          </w14:solidFill>
        </w14:textFill>
      </w:rPr>
      <w:tcPr>
        <w:shd w:val="clear" w:color="auto" w:fill="B6DDE8" w:themeFill="accent5" w:themeFillTint="66"/>
      </w:tcPr>
    </w:tblStylePr>
    <w:tblStylePr w:type="firstCol">
      <w:rPr>
        <w:color w:val="FFFAEF" w:themeColor="background1"/>
        <w14:textFill>
          <w14:solidFill>
            <w14:schemeClr w14:val="bg1"/>
          </w14:solidFill>
        </w14:textFill>
      </w:rPr>
      <w:tcPr>
        <w:shd w:val="clear" w:color="auto" w:fill="31849B" w:themeFill="accent5" w:themeFillShade="BF"/>
      </w:tcPr>
    </w:tblStylePr>
    <w:tblStylePr w:type="lastCol">
      <w:rPr>
        <w:color w:val="FFFAE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3D3D3D" w:themeColor="text1"/>
        <w14:textFill>
          <w14:solidFill>
            <w14:schemeClr w14:val="tx1"/>
          </w14:solidFill>
        </w14:textFill>
      </w:rPr>
      <w:tcPr>
        <w:shd w:val="clear" w:color="auto" w:fill="FBD4B4" w:themeFill="accent6" w:themeFillTint="66"/>
      </w:tcPr>
    </w:tblStylePr>
    <w:tblStylePr w:type="firstCol">
      <w:rPr>
        <w:color w:val="FFFAEF" w:themeColor="background1"/>
        <w14:textFill>
          <w14:solidFill>
            <w14:schemeClr w14:val="bg1"/>
          </w14:solidFill>
        </w14:textFill>
      </w:rPr>
      <w:tcPr>
        <w:shd w:val="clear" w:color="auto" w:fill="E36C09" w:themeFill="accent6" w:themeFillShade="BF"/>
      </w:tcPr>
    </w:tblStylePr>
    <w:tblStylePr w:type="lastCol">
      <w:rPr>
        <w:color w:val="FFFAE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836</Words>
  <Characters>5220</Characters>
  <Lines>0</Lines>
  <Paragraphs>0</Paragraphs>
  <TotalTime>0</TotalTime>
  <ScaleCrop>false</ScaleCrop>
  <LinksUpToDate>false</LinksUpToDate>
  <CharactersWithSpaces>5880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2026-08-14T06:20:01Z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eyJoZGlkIjoiNTM2YzgwMGE4NTkyMGIwYjk3YjY4MDExNDQzNDA0NzQifQ==</vt:lpwstr>
  </property>
  <property fmtid="{D5CDD505-2E9C-101B-9397-08002B2CF9AE}" pid="3" name="KSOProductBuildVer">
    <vt:lpwstr>1049-12.1.0.28032</vt:lpwstr>
  </property>
  <property fmtid="{D5CDD505-2E9C-101B-9397-08002B2CF9AE}" pid="4" name="ICV">
    <vt:lpwstr>0FDAA135B0D54AC4A1FF31139E244BA9_13</vt:lpwstr>
  </property>
</Properties>
</file>