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F8D00">
      <w:pPr>
        <w:pStyle w:val="25"/>
        <w:jc w:val="center"/>
      </w:pPr>
      <w:bookmarkStart w:id="0" w:name="_GoBack"/>
      <w:bookmarkEnd w:id="0"/>
      <w:r>
        <w:t>7-MAVZU: IMPACTED WISDOM TOOTH</w:t>
      </w:r>
    </w:p>
    <w:p w14:paraId="66243D7D">
      <w:pPr>
        <w:jc w:val="center"/>
      </w:pPr>
      <w:r>
        <w:t>Vocabulary va Smart Phrasebook</w:t>
      </w:r>
    </w:p>
    <w:p w14:paraId="1819D055">
      <w:r>
        <w:t>Maqsad: talaba impaktatsiyalangan aql tishi bilan murojaat qilgan bemorning asosiy shikoyati, tishning noto‘g‘ri chiqishi, qo‘shni tishga bosim, milkdagi yallig‘lanish, panoramik rentgen, ekstraksiya va davolash variantlari haqida ingliz tilida savollar bera olishi va bemorning javoblarini tushunishi lozim.</w:t>
      </w:r>
    </w:p>
    <w:p w14:paraId="7143E500">
      <w:pPr>
        <w:pStyle w:val="2"/>
      </w:pPr>
      <w:r>
        <w:t>1. VOCABULARY — Impacted Wisdom Tooth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95"/>
      </w:tblGrid>
      <w:tr w14:paraId="3D1C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4518CCE">
            <w:pPr>
              <w:spacing w:after="0" w:line="240" w:lineRule="auto"/>
            </w:pPr>
            <w:r>
              <w:rPr>
                <w:b/>
              </w:rPr>
              <w:t>English</w:t>
            </w:r>
          </w:p>
        </w:tc>
        <w:tc>
          <w:tcPr>
            <w:tcW w:w="2160" w:type="dxa"/>
          </w:tcPr>
          <w:p w14:paraId="4B027B53">
            <w:pPr>
              <w:spacing w:after="0" w:line="240" w:lineRule="auto"/>
            </w:pPr>
            <w:r>
              <w:rPr>
                <w:b/>
              </w:rPr>
              <w:t>Talaffuzi</w:t>
            </w:r>
          </w:p>
        </w:tc>
        <w:tc>
          <w:tcPr>
            <w:tcW w:w="2160" w:type="dxa"/>
          </w:tcPr>
          <w:p w14:paraId="45CFB28E">
            <w:pPr>
              <w:spacing w:after="0" w:line="240" w:lineRule="auto"/>
            </w:pPr>
            <w:r>
              <w:rPr>
                <w:b/>
              </w:rPr>
              <w:t>O‘zbekcha</w:t>
            </w:r>
          </w:p>
        </w:tc>
        <w:tc>
          <w:tcPr>
            <w:tcW w:w="2160" w:type="dxa"/>
          </w:tcPr>
          <w:p w14:paraId="1CF9E95D">
            <w:pPr>
              <w:spacing w:after="0" w:line="240" w:lineRule="auto"/>
            </w:pPr>
            <w:r>
              <w:rPr>
                <w:b/>
              </w:rPr>
              <w:t>Русский</w:t>
            </w:r>
          </w:p>
        </w:tc>
      </w:tr>
      <w:tr w14:paraId="744CE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C5AE2B9">
            <w:pPr>
              <w:spacing w:after="0" w:line="240" w:lineRule="auto"/>
            </w:pPr>
            <w:r>
              <w:t>impacted wisdom tooth</w:t>
            </w:r>
          </w:p>
        </w:tc>
        <w:tc>
          <w:tcPr>
            <w:tcW w:w="2160" w:type="dxa"/>
          </w:tcPr>
          <w:p w14:paraId="4F519FE6">
            <w:pPr>
              <w:spacing w:after="0" w:line="240" w:lineRule="auto"/>
            </w:pPr>
            <w:r>
              <w:t>/ɪmˈpæktɪd ˈwɪzdəm tuːθ/</w:t>
            </w:r>
          </w:p>
        </w:tc>
        <w:tc>
          <w:tcPr>
            <w:tcW w:w="2160" w:type="dxa"/>
          </w:tcPr>
          <w:p w14:paraId="5FF51D85">
            <w:pPr>
              <w:spacing w:after="0" w:line="240" w:lineRule="auto"/>
            </w:pPr>
            <w:r>
              <w:t>impaktatsiyalangan aql tishi</w:t>
            </w:r>
          </w:p>
        </w:tc>
        <w:tc>
          <w:tcPr>
            <w:tcW w:w="2160" w:type="dxa"/>
          </w:tcPr>
          <w:p w14:paraId="38D11A48">
            <w:pPr>
              <w:spacing w:after="0" w:line="240" w:lineRule="auto"/>
            </w:pPr>
            <w:r>
              <w:t>зуб мудрости, который не может нормально прорезаться</w:t>
            </w:r>
          </w:p>
        </w:tc>
      </w:tr>
      <w:tr w14:paraId="27C23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63FAD6F">
            <w:pPr>
              <w:spacing w:after="0" w:line="240" w:lineRule="auto"/>
            </w:pPr>
            <w:r>
              <w:t>persistent</w:t>
            </w:r>
          </w:p>
        </w:tc>
        <w:tc>
          <w:tcPr>
            <w:tcW w:w="2160" w:type="dxa"/>
          </w:tcPr>
          <w:p w14:paraId="74E3FE68">
            <w:pPr>
              <w:spacing w:after="0" w:line="240" w:lineRule="auto"/>
            </w:pPr>
            <w:r>
              <w:t>/pəˈsɪstənt/</w:t>
            </w:r>
          </w:p>
        </w:tc>
        <w:tc>
          <w:tcPr>
            <w:tcW w:w="2160" w:type="dxa"/>
          </w:tcPr>
          <w:p w14:paraId="03E73D01">
            <w:pPr>
              <w:spacing w:after="0" w:line="240" w:lineRule="auto"/>
            </w:pPr>
            <w:r>
              <w:t>doimiy, davom etuvchi</w:t>
            </w:r>
          </w:p>
        </w:tc>
        <w:tc>
          <w:tcPr>
            <w:tcW w:w="2160" w:type="dxa"/>
          </w:tcPr>
          <w:p w14:paraId="17722BB6">
            <w:pPr>
              <w:spacing w:after="0" w:line="240" w:lineRule="auto"/>
            </w:pPr>
            <w:r>
              <w:t>постоянный, непрекращающийся</w:t>
            </w:r>
          </w:p>
        </w:tc>
      </w:tr>
      <w:tr w14:paraId="0F3A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E14D0FA">
            <w:pPr>
              <w:spacing w:after="0" w:line="240" w:lineRule="auto"/>
            </w:pPr>
            <w:r>
              <w:t>throbbing ache</w:t>
            </w:r>
          </w:p>
        </w:tc>
        <w:tc>
          <w:tcPr>
            <w:tcW w:w="2160" w:type="dxa"/>
          </w:tcPr>
          <w:p w14:paraId="5A3027C7">
            <w:pPr>
              <w:spacing w:after="0" w:line="240" w:lineRule="auto"/>
            </w:pPr>
            <w:r>
              <w:t>/ˈθrɒbɪŋ eɪk/</w:t>
            </w:r>
          </w:p>
        </w:tc>
        <w:tc>
          <w:tcPr>
            <w:tcW w:w="2160" w:type="dxa"/>
          </w:tcPr>
          <w:p w14:paraId="6EF0ECFD">
            <w:pPr>
              <w:spacing w:after="0" w:line="240" w:lineRule="auto"/>
            </w:pPr>
            <w:r>
              <w:t>urib turadigan og‘riq</w:t>
            </w:r>
          </w:p>
        </w:tc>
        <w:tc>
          <w:tcPr>
            <w:tcW w:w="2160" w:type="dxa"/>
          </w:tcPr>
          <w:p w14:paraId="48ADA07F">
            <w:pPr>
              <w:spacing w:after="0" w:line="240" w:lineRule="auto"/>
            </w:pPr>
            <w:r>
              <w:t>пульсирующая боль</w:t>
            </w:r>
          </w:p>
        </w:tc>
      </w:tr>
      <w:tr w14:paraId="4B7C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6053182">
            <w:pPr>
              <w:spacing w:after="0" w:line="240" w:lineRule="auto"/>
            </w:pPr>
            <w:r>
              <w:t>lower jaw</w:t>
            </w:r>
          </w:p>
        </w:tc>
        <w:tc>
          <w:tcPr>
            <w:tcW w:w="2160" w:type="dxa"/>
          </w:tcPr>
          <w:p w14:paraId="1B8E2021">
            <w:pPr>
              <w:spacing w:after="0" w:line="240" w:lineRule="auto"/>
            </w:pPr>
            <w:r>
              <w:t>/ˌləʊə ˈdʒɔː/</w:t>
            </w:r>
          </w:p>
        </w:tc>
        <w:tc>
          <w:tcPr>
            <w:tcW w:w="2160" w:type="dxa"/>
          </w:tcPr>
          <w:p w14:paraId="168738E6">
            <w:pPr>
              <w:spacing w:after="0" w:line="240" w:lineRule="auto"/>
            </w:pPr>
            <w:r>
              <w:t>pastki jag‘</w:t>
            </w:r>
          </w:p>
        </w:tc>
        <w:tc>
          <w:tcPr>
            <w:tcW w:w="2160" w:type="dxa"/>
          </w:tcPr>
          <w:p w14:paraId="63FA1B70">
            <w:pPr>
              <w:spacing w:after="0" w:line="240" w:lineRule="auto"/>
            </w:pPr>
            <w:r>
              <w:t>нижняя челюсть</w:t>
            </w:r>
          </w:p>
        </w:tc>
      </w:tr>
      <w:tr w14:paraId="1B25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744B3BB">
            <w:pPr>
              <w:spacing w:after="0" w:line="240" w:lineRule="auto"/>
            </w:pPr>
            <w:r>
              <w:t>stiff</w:t>
            </w:r>
          </w:p>
        </w:tc>
        <w:tc>
          <w:tcPr>
            <w:tcW w:w="2160" w:type="dxa"/>
          </w:tcPr>
          <w:p w14:paraId="3044ED3B">
            <w:pPr>
              <w:spacing w:after="0" w:line="240" w:lineRule="auto"/>
            </w:pPr>
            <w:r>
              <w:t>/stɪf/</w:t>
            </w:r>
          </w:p>
        </w:tc>
        <w:tc>
          <w:tcPr>
            <w:tcW w:w="2160" w:type="dxa"/>
          </w:tcPr>
          <w:p w14:paraId="39BF0814">
            <w:pPr>
              <w:spacing w:after="0" w:line="240" w:lineRule="auto"/>
            </w:pPr>
            <w:r>
              <w:t>qotib qolgan, tarang</w:t>
            </w:r>
          </w:p>
        </w:tc>
        <w:tc>
          <w:tcPr>
            <w:tcW w:w="2160" w:type="dxa"/>
          </w:tcPr>
          <w:p w14:paraId="3168A824">
            <w:pPr>
              <w:spacing w:after="0" w:line="240" w:lineRule="auto"/>
            </w:pPr>
            <w:r>
              <w:t>скованный, напряжённый</w:t>
            </w:r>
          </w:p>
        </w:tc>
      </w:tr>
      <w:tr w14:paraId="54C0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2FE43CD">
            <w:pPr>
              <w:spacing w:after="0" w:line="240" w:lineRule="auto"/>
            </w:pPr>
            <w:r>
              <w:t>molar</w:t>
            </w:r>
          </w:p>
        </w:tc>
        <w:tc>
          <w:tcPr>
            <w:tcW w:w="2160" w:type="dxa"/>
          </w:tcPr>
          <w:p w14:paraId="5631CCC3">
            <w:pPr>
              <w:spacing w:after="0" w:line="240" w:lineRule="auto"/>
            </w:pPr>
            <w:r>
              <w:t>/ˈməʊlə/</w:t>
            </w:r>
          </w:p>
        </w:tc>
        <w:tc>
          <w:tcPr>
            <w:tcW w:w="2160" w:type="dxa"/>
          </w:tcPr>
          <w:p w14:paraId="2B48BAB6">
            <w:pPr>
              <w:spacing w:after="0" w:line="240" w:lineRule="auto"/>
            </w:pPr>
            <w:r>
              <w:t>jag‘ tishi</w:t>
            </w:r>
          </w:p>
        </w:tc>
        <w:tc>
          <w:tcPr>
            <w:tcW w:w="2160" w:type="dxa"/>
          </w:tcPr>
          <w:p w14:paraId="081CE269">
            <w:pPr>
              <w:spacing w:after="0" w:line="240" w:lineRule="auto"/>
            </w:pPr>
            <w:r>
              <w:t>коренной зуб</w:t>
            </w:r>
          </w:p>
        </w:tc>
      </w:tr>
      <w:tr w14:paraId="3322C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2639543">
            <w:pPr>
              <w:spacing w:after="0" w:line="240" w:lineRule="auto"/>
            </w:pPr>
            <w:r>
              <w:t>come through</w:t>
            </w:r>
          </w:p>
        </w:tc>
        <w:tc>
          <w:tcPr>
            <w:tcW w:w="2160" w:type="dxa"/>
          </w:tcPr>
          <w:p w14:paraId="163B2714">
            <w:pPr>
              <w:spacing w:after="0" w:line="240" w:lineRule="auto"/>
            </w:pPr>
            <w:r>
              <w:t>/kʌm θruː/</w:t>
            </w:r>
          </w:p>
        </w:tc>
        <w:tc>
          <w:tcPr>
            <w:tcW w:w="2160" w:type="dxa"/>
          </w:tcPr>
          <w:p w14:paraId="2A96AFE3">
            <w:pPr>
              <w:spacing w:after="0" w:line="240" w:lineRule="auto"/>
            </w:pPr>
            <w:r>
              <w:t>yorib chiqmoq</w:t>
            </w:r>
          </w:p>
        </w:tc>
        <w:tc>
          <w:tcPr>
            <w:tcW w:w="2160" w:type="dxa"/>
          </w:tcPr>
          <w:p w14:paraId="71FA794B">
            <w:pPr>
              <w:spacing w:after="0" w:line="240" w:lineRule="auto"/>
            </w:pPr>
            <w:r>
              <w:t>прорезаться</w:t>
            </w:r>
          </w:p>
        </w:tc>
      </w:tr>
      <w:tr w14:paraId="7D46F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EA162A3">
            <w:pPr>
              <w:spacing w:after="0" w:line="240" w:lineRule="auto"/>
            </w:pPr>
            <w:r>
              <w:t>flap of gum tissue</w:t>
            </w:r>
          </w:p>
        </w:tc>
        <w:tc>
          <w:tcPr>
            <w:tcW w:w="2160" w:type="dxa"/>
          </w:tcPr>
          <w:p w14:paraId="66BC1A93">
            <w:pPr>
              <w:spacing w:after="0" w:line="240" w:lineRule="auto"/>
            </w:pPr>
            <w:r>
              <w:t>/flæp əv ɡʌm ˈtɪʃuː/</w:t>
            </w:r>
          </w:p>
        </w:tc>
        <w:tc>
          <w:tcPr>
            <w:tcW w:w="2160" w:type="dxa"/>
          </w:tcPr>
          <w:p w14:paraId="58134DC9">
            <w:pPr>
              <w:spacing w:after="0" w:line="240" w:lineRule="auto"/>
            </w:pPr>
            <w:r>
              <w:t>milk to‘qimasi qopqog‘i</w:t>
            </w:r>
          </w:p>
        </w:tc>
        <w:tc>
          <w:tcPr>
            <w:tcW w:w="2160" w:type="dxa"/>
          </w:tcPr>
          <w:p w14:paraId="74DCC6FA">
            <w:pPr>
              <w:spacing w:after="0" w:line="240" w:lineRule="auto"/>
            </w:pPr>
            <w:r>
              <w:t>десневой лоскут</w:t>
            </w:r>
          </w:p>
        </w:tc>
      </w:tr>
      <w:tr w14:paraId="5CB07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77AEAC7">
            <w:pPr>
              <w:spacing w:after="0" w:line="240" w:lineRule="auto"/>
            </w:pPr>
            <w:r>
              <w:t>swollen</w:t>
            </w:r>
          </w:p>
        </w:tc>
        <w:tc>
          <w:tcPr>
            <w:tcW w:w="2160" w:type="dxa"/>
          </w:tcPr>
          <w:p w14:paraId="09356606">
            <w:pPr>
              <w:spacing w:after="0" w:line="240" w:lineRule="auto"/>
            </w:pPr>
            <w:r>
              <w:t>/ˈswəʊlən/</w:t>
            </w:r>
          </w:p>
        </w:tc>
        <w:tc>
          <w:tcPr>
            <w:tcW w:w="2160" w:type="dxa"/>
          </w:tcPr>
          <w:p w14:paraId="36CB041C">
            <w:pPr>
              <w:spacing w:after="0" w:line="240" w:lineRule="auto"/>
            </w:pPr>
            <w:r>
              <w:t>shishgan</w:t>
            </w:r>
          </w:p>
        </w:tc>
        <w:tc>
          <w:tcPr>
            <w:tcW w:w="2160" w:type="dxa"/>
          </w:tcPr>
          <w:p w14:paraId="37A8317B">
            <w:pPr>
              <w:spacing w:after="0" w:line="240" w:lineRule="auto"/>
            </w:pPr>
            <w:r>
              <w:t>опухший</w:t>
            </w:r>
          </w:p>
        </w:tc>
      </w:tr>
      <w:tr w14:paraId="2C1F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059C51F">
            <w:pPr>
              <w:spacing w:after="0" w:line="240" w:lineRule="auto"/>
            </w:pPr>
            <w:r>
              <w:t>erupt</w:t>
            </w:r>
          </w:p>
        </w:tc>
        <w:tc>
          <w:tcPr>
            <w:tcW w:w="2160" w:type="dxa"/>
          </w:tcPr>
          <w:p w14:paraId="409551AA">
            <w:pPr>
              <w:spacing w:after="0" w:line="240" w:lineRule="auto"/>
            </w:pPr>
            <w:r>
              <w:t>/ɪˈrʌpt/</w:t>
            </w:r>
          </w:p>
        </w:tc>
        <w:tc>
          <w:tcPr>
            <w:tcW w:w="2160" w:type="dxa"/>
          </w:tcPr>
          <w:p w14:paraId="08BEDC5B">
            <w:pPr>
              <w:spacing w:after="0" w:line="240" w:lineRule="auto"/>
            </w:pPr>
            <w:r>
              <w:t>tish chiqmoq, yorib chiqmoq</w:t>
            </w:r>
          </w:p>
        </w:tc>
        <w:tc>
          <w:tcPr>
            <w:tcW w:w="2160" w:type="dxa"/>
          </w:tcPr>
          <w:p w14:paraId="3D1E6BD3">
            <w:pPr>
              <w:spacing w:after="0" w:line="240" w:lineRule="auto"/>
            </w:pPr>
            <w:r>
              <w:t>прорезаться</w:t>
            </w:r>
          </w:p>
        </w:tc>
      </w:tr>
      <w:tr w14:paraId="70F21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80CA78C">
            <w:pPr>
              <w:spacing w:after="0" w:line="240" w:lineRule="auto"/>
            </w:pPr>
            <w:r>
              <w:t>neighbouring molar</w:t>
            </w:r>
          </w:p>
        </w:tc>
        <w:tc>
          <w:tcPr>
            <w:tcW w:w="2160" w:type="dxa"/>
          </w:tcPr>
          <w:p w14:paraId="62E5F5C2">
            <w:pPr>
              <w:spacing w:after="0" w:line="240" w:lineRule="auto"/>
            </w:pPr>
            <w:r>
              <w:t>/ˈneɪbərɪŋ ˈməʊlə/</w:t>
            </w:r>
          </w:p>
        </w:tc>
        <w:tc>
          <w:tcPr>
            <w:tcW w:w="2160" w:type="dxa"/>
          </w:tcPr>
          <w:p w14:paraId="43BA29FE">
            <w:pPr>
              <w:spacing w:after="0" w:line="240" w:lineRule="auto"/>
            </w:pPr>
            <w:r>
              <w:t>yonidagi jag‘ tishi</w:t>
            </w:r>
          </w:p>
        </w:tc>
        <w:tc>
          <w:tcPr>
            <w:tcW w:w="2160" w:type="dxa"/>
          </w:tcPr>
          <w:p w14:paraId="79FB795A">
            <w:pPr>
              <w:spacing w:after="0" w:line="240" w:lineRule="auto"/>
            </w:pPr>
            <w:r>
              <w:t>соседний коренной зуб</w:t>
            </w:r>
          </w:p>
        </w:tc>
      </w:tr>
      <w:tr w14:paraId="1733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D4EF45C">
            <w:pPr>
              <w:spacing w:after="0" w:line="240" w:lineRule="auto"/>
            </w:pPr>
            <w:r>
              <w:t>adjacent tooth</w:t>
            </w:r>
          </w:p>
        </w:tc>
        <w:tc>
          <w:tcPr>
            <w:tcW w:w="2160" w:type="dxa"/>
          </w:tcPr>
          <w:p w14:paraId="03BF37AC">
            <w:pPr>
              <w:spacing w:after="0" w:line="240" w:lineRule="auto"/>
            </w:pPr>
            <w:r>
              <w:t>/əˈdʒeɪsənt tuːθ/</w:t>
            </w:r>
          </w:p>
        </w:tc>
        <w:tc>
          <w:tcPr>
            <w:tcW w:w="2160" w:type="dxa"/>
          </w:tcPr>
          <w:p w14:paraId="7D873CAC">
            <w:pPr>
              <w:spacing w:after="0" w:line="240" w:lineRule="auto"/>
            </w:pPr>
            <w:r>
              <w:t>qo‘shni tish</w:t>
            </w:r>
          </w:p>
        </w:tc>
        <w:tc>
          <w:tcPr>
            <w:tcW w:w="2160" w:type="dxa"/>
          </w:tcPr>
          <w:p w14:paraId="54813DD7">
            <w:pPr>
              <w:spacing w:after="0" w:line="240" w:lineRule="auto"/>
            </w:pPr>
            <w:r>
              <w:t>соседний зуб</w:t>
            </w:r>
          </w:p>
        </w:tc>
      </w:tr>
      <w:tr w14:paraId="56FD5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C8980B0">
            <w:pPr>
              <w:spacing w:after="0" w:line="240" w:lineRule="auto"/>
            </w:pPr>
            <w:r>
              <w:t>exert pressure</w:t>
            </w:r>
          </w:p>
        </w:tc>
        <w:tc>
          <w:tcPr>
            <w:tcW w:w="2160" w:type="dxa"/>
          </w:tcPr>
          <w:p w14:paraId="158B23CB">
            <w:pPr>
              <w:spacing w:after="0" w:line="240" w:lineRule="auto"/>
            </w:pPr>
            <w:r>
              <w:t>/ɪɡˈzɜːt ˈpreʃə/</w:t>
            </w:r>
          </w:p>
        </w:tc>
        <w:tc>
          <w:tcPr>
            <w:tcW w:w="2160" w:type="dxa"/>
          </w:tcPr>
          <w:p w14:paraId="7934CA62">
            <w:pPr>
              <w:spacing w:after="0" w:line="240" w:lineRule="auto"/>
            </w:pPr>
            <w:r>
              <w:t>bosim o‘tkazmoq</w:t>
            </w:r>
          </w:p>
        </w:tc>
        <w:tc>
          <w:tcPr>
            <w:tcW w:w="2160" w:type="dxa"/>
          </w:tcPr>
          <w:p w14:paraId="77628DEF">
            <w:pPr>
              <w:spacing w:after="0" w:line="240" w:lineRule="auto"/>
            </w:pPr>
            <w:r>
              <w:t>оказывать давление</w:t>
            </w:r>
          </w:p>
        </w:tc>
      </w:tr>
      <w:tr w14:paraId="3E30C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21E6DE6">
            <w:pPr>
              <w:spacing w:after="0" w:line="240" w:lineRule="auto"/>
            </w:pPr>
            <w:r>
              <w:t>enamel</w:t>
            </w:r>
          </w:p>
        </w:tc>
        <w:tc>
          <w:tcPr>
            <w:tcW w:w="2160" w:type="dxa"/>
          </w:tcPr>
          <w:p w14:paraId="762282F2">
            <w:pPr>
              <w:spacing w:after="0" w:line="240" w:lineRule="auto"/>
            </w:pPr>
            <w:r>
              <w:t>/ɪˈnæməl/</w:t>
            </w:r>
          </w:p>
        </w:tc>
        <w:tc>
          <w:tcPr>
            <w:tcW w:w="2160" w:type="dxa"/>
          </w:tcPr>
          <w:p w14:paraId="7AAC9863">
            <w:pPr>
              <w:spacing w:after="0" w:line="240" w:lineRule="auto"/>
            </w:pPr>
            <w:r>
              <w:t>tish emali</w:t>
            </w:r>
          </w:p>
        </w:tc>
        <w:tc>
          <w:tcPr>
            <w:tcW w:w="2160" w:type="dxa"/>
          </w:tcPr>
          <w:p w14:paraId="4A75A289">
            <w:pPr>
              <w:spacing w:after="0" w:line="240" w:lineRule="auto"/>
            </w:pPr>
            <w:r>
              <w:t>зубная эмаль</w:t>
            </w:r>
          </w:p>
        </w:tc>
      </w:tr>
      <w:tr w14:paraId="2ABC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246CC52">
            <w:pPr>
              <w:spacing w:after="0" w:line="240" w:lineRule="auto"/>
            </w:pPr>
            <w:r>
              <w:t>decay</w:t>
            </w:r>
          </w:p>
        </w:tc>
        <w:tc>
          <w:tcPr>
            <w:tcW w:w="2160" w:type="dxa"/>
          </w:tcPr>
          <w:p w14:paraId="4BB77584">
            <w:pPr>
              <w:spacing w:after="0" w:line="240" w:lineRule="auto"/>
            </w:pPr>
            <w:r>
              <w:t>/dɪˈkeɪ/</w:t>
            </w:r>
          </w:p>
        </w:tc>
        <w:tc>
          <w:tcPr>
            <w:tcW w:w="2160" w:type="dxa"/>
          </w:tcPr>
          <w:p w14:paraId="0A8CBE18">
            <w:pPr>
              <w:spacing w:after="0" w:line="240" w:lineRule="auto"/>
            </w:pPr>
            <w:r>
              <w:t>tish chirishi, kariyes</w:t>
            </w:r>
          </w:p>
        </w:tc>
        <w:tc>
          <w:tcPr>
            <w:tcW w:w="2160" w:type="dxa"/>
          </w:tcPr>
          <w:p w14:paraId="326F5B45">
            <w:pPr>
              <w:spacing w:after="0" w:line="240" w:lineRule="auto"/>
            </w:pPr>
            <w:r>
              <w:t>кариес, разрушение зуба</w:t>
            </w:r>
          </w:p>
        </w:tc>
      </w:tr>
      <w:tr w14:paraId="04CC1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665B34C">
            <w:pPr>
              <w:spacing w:after="0" w:line="240" w:lineRule="auto"/>
            </w:pPr>
            <w:r>
              <w:t>gum flap</w:t>
            </w:r>
          </w:p>
        </w:tc>
        <w:tc>
          <w:tcPr>
            <w:tcW w:w="2160" w:type="dxa"/>
          </w:tcPr>
          <w:p w14:paraId="0354BCD6">
            <w:pPr>
              <w:spacing w:after="0" w:line="240" w:lineRule="auto"/>
            </w:pPr>
            <w:r>
              <w:t>/ɡʌm flæp/</w:t>
            </w:r>
          </w:p>
        </w:tc>
        <w:tc>
          <w:tcPr>
            <w:tcW w:w="2160" w:type="dxa"/>
          </w:tcPr>
          <w:p w14:paraId="7CAB0EE1">
            <w:pPr>
              <w:spacing w:after="0" w:line="240" w:lineRule="auto"/>
            </w:pPr>
            <w:r>
              <w:t>milk qopqog‘i</w:t>
            </w:r>
          </w:p>
        </w:tc>
        <w:tc>
          <w:tcPr>
            <w:tcW w:w="2160" w:type="dxa"/>
          </w:tcPr>
          <w:p w14:paraId="03731F81">
            <w:pPr>
              <w:spacing w:after="0" w:line="240" w:lineRule="auto"/>
            </w:pPr>
            <w:r>
              <w:t>десневой лоскут</w:t>
            </w:r>
          </w:p>
        </w:tc>
      </w:tr>
      <w:tr w14:paraId="485D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72EB95F">
            <w:pPr>
              <w:spacing w:after="0" w:line="240" w:lineRule="auto"/>
            </w:pPr>
            <w:r>
              <w:t>food debris</w:t>
            </w:r>
          </w:p>
        </w:tc>
        <w:tc>
          <w:tcPr>
            <w:tcW w:w="2160" w:type="dxa"/>
          </w:tcPr>
          <w:p w14:paraId="7A908753">
            <w:pPr>
              <w:spacing w:after="0" w:line="240" w:lineRule="auto"/>
            </w:pPr>
            <w:r>
              <w:t>/fuːd ˈdebriː/</w:t>
            </w:r>
          </w:p>
        </w:tc>
        <w:tc>
          <w:tcPr>
            <w:tcW w:w="2160" w:type="dxa"/>
          </w:tcPr>
          <w:p w14:paraId="1937A1E5">
            <w:pPr>
              <w:spacing w:after="0" w:line="240" w:lineRule="auto"/>
            </w:pPr>
            <w:r>
              <w:t>ovqat qoldiqlari</w:t>
            </w:r>
          </w:p>
        </w:tc>
        <w:tc>
          <w:tcPr>
            <w:tcW w:w="2160" w:type="dxa"/>
          </w:tcPr>
          <w:p w14:paraId="04902A6B">
            <w:pPr>
              <w:spacing w:after="0" w:line="240" w:lineRule="auto"/>
            </w:pPr>
            <w:r>
              <w:t>остатки пищи</w:t>
            </w:r>
          </w:p>
        </w:tc>
      </w:tr>
      <w:tr w14:paraId="3AF2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A3F7121">
            <w:pPr>
              <w:spacing w:after="0" w:line="240" w:lineRule="auto"/>
            </w:pPr>
            <w:r>
              <w:t>get trapped</w:t>
            </w:r>
          </w:p>
        </w:tc>
        <w:tc>
          <w:tcPr>
            <w:tcW w:w="2160" w:type="dxa"/>
          </w:tcPr>
          <w:p w14:paraId="0DD4E3D1">
            <w:pPr>
              <w:spacing w:after="0" w:line="240" w:lineRule="auto"/>
            </w:pPr>
            <w:r>
              <w:t>/ɡet træpt/</w:t>
            </w:r>
          </w:p>
        </w:tc>
        <w:tc>
          <w:tcPr>
            <w:tcW w:w="2160" w:type="dxa"/>
          </w:tcPr>
          <w:p w14:paraId="6120ADD3">
            <w:pPr>
              <w:spacing w:after="0" w:line="240" w:lineRule="auto"/>
            </w:pPr>
            <w:r>
              <w:t>tiqilib qolmoq</w:t>
            </w:r>
          </w:p>
        </w:tc>
        <w:tc>
          <w:tcPr>
            <w:tcW w:w="2160" w:type="dxa"/>
          </w:tcPr>
          <w:p w14:paraId="1609C86B">
            <w:pPr>
              <w:spacing w:after="0" w:line="240" w:lineRule="auto"/>
            </w:pPr>
            <w:r>
              <w:t>застревать</w:t>
            </w:r>
          </w:p>
        </w:tc>
      </w:tr>
      <w:tr w14:paraId="32DD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517F429">
            <w:pPr>
              <w:spacing w:after="0" w:line="240" w:lineRule="auto"/>
            </w:pPr>
            <w:r>
              <w:t>localized inflammation</w:t>
            </w:r>
          </w:p>
        </w:tc>
        <w:tc>
          <w:tcPr>
            <w:tcW w:w="2160" w:type="dxa"/>
          </w:tcPr>
          <w:p w14:paraId="3967E238">
            <w:pPr>
              <w:spacing w:after="0" w:line="240" w:lineRule="auto"/>
            </w:pPr>
            <w:r>
              <w:t>/ˈləʊkəlaɪzd ˌɪnfləˈmeɪʃən/</w:t>
            </w:r>
          </w:p>
        </w:tc>
        <w:tc>
          <w:tcPr>
            <w:tcW w:w="2160" w:type="dxa"/>
          </w:tcPr>
          <w:p w14:paraId="443C7CA7">
            <w:pPr>
              <w:spacing w:after="0" w:line="240" w:lineRule="auto"/>
            </w:pPr>
            <w:r>
              <w:t>mahalliy yallig‘lanish</w:t>
            </w:r>
          </w:p>
        </w:tc>
        <w:tc>
          <w:tcPr>
            <w:tcW w:w="2160" w:type="dxa"/>
          </w:tcPr>
          <w:p w14:paraId="31D7CA46">
            <w:pPr>
              <w:spacing w:after="0" w:line="240" w:lineRule="auto"/>
            </w:pPr>
            <w:r>
              <w:t>локальное воспаление</w:t>
            </w:r>
          </w:p>
        </w:tc>
      </w:tr>
      <w:tr w14:paraId="58D6B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4F8BEA4">
            <w:pPr>
              <w:spacing w:after="0" w:line="240" w:lineRule="auto"/>
            </w:pPr>
            <w:r>
              <w:t>pericoronitis</w:t>
            </w:r>
          </w:p>
        </w:tc>
        <w:tc>
          <w:tcPr>
            <w:tcW w:w="2160" w:type="dxa"/>
          </w:tcPr>
          <w:p w14:paraId="180D67B0">
            <w:pPr>
              <w:spacing w:after="0" w:line="240" w:lineRule="auto"/>
            </w:pPr>
            <w:r>
              <w:t>/ˌperɪkɒrəˈnaɪtɪs/</w:t>
            </w:r>
          </w:p>
        </w:tc>
        <w:tc>
          <w:tcPr>
            <w:tcW w:w="2160" w:type="dxa"/>
          </w:tcPr>
          <w:p w14:paraId="2F4C7ED4">
            <w:pPr>
              <w:spacing w:after="0" w:line="240" w:lineRule="auto"/>
            </w:pPr>
            <w:r>
              <w:t>perikoronit</w:t>
            </w:r>
          </w:p>
        </w:tc>
        <w:tc>
          <w:tcPr>
            <w:tcW w:w="2160" w:type="dxa"/>
          </w:tcPr>
          <w:p w14:paraId="239303DB">
            <w:pPr>
              <w:spacing w:after="0" w:line="240" w:lineRule="auto"/>
            </w:pPr>
            <w:r>
              <w:t>перикоронит</w:t>
            </w:r>
          </w:p>
        </w:tc>
      </w:tr>
      <w:tr w14:paraId="0387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7C07294">
            <w:pPr>
              <w:spacing w:after="0" w:line="240" w:lineRule="auto"/>
            </w:pPr>
            <w:r>
              <w:t>unpleasant taste</w:t>
            </w:r>
          </w:p>
        </w:tc>
        <w:tc>
          <w:tcPr>
            <w:tcW w:w="2160" w:type="dxa"/>
          </w:tcPr>
          <w:p w14:paraId="316F1FF3">
            <w:pPr>
              <w:spacing w:after="0" w:line="240" w:lineRule="auto"/>
            </w:pPr>
            <w:r>
              <w:t>/ʌnˈplezənt teɪst/</w:t>
            </w:r>
          </w:p>
        </w:tc>
        <w:tc>
          <w:tcPr>
            <w:tcW w:w="2160" w:type="dxa"/>
          </w:tcPr>
          <w:p w14:paraId="75C9156B">
            <w:pPr>
              <w:spacing w:after="0" w:line="240" w:lineRule="auto"/>
            </w:pPr>
            <w:r>
              <w:t>yoqimsiz ta’m</w:t>
            </w:r>
          </w:p>
        </w:tc>
        <w:tc>
          <w:tcPr>
            <w:tcW w:w="2160" w:type="dxa"/>
          </w:tcPr>
          <w:p w14:paraId="292E07D1">
            <w:pPr>
              <w:spacing w:after="0" w:line="240" w:lineRule="auto"/>
            </w:pPr>
            <w:r>
              <w:t>неприятный вкус</w:t>
            </w:r>
          </w:p>
        </w:tc>
      </w:tr>
      <w:tr w14:paraId="4DAE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FD7F902">
            <w:pPr>
              <w:spacing w:after="0" w:line="240" w:lineRule="auto"/>
            </w:pPr>
            <w:r>
              <w:t>odor</w:t>
            </w:r>
          </w:p>
        </w:tc>
        <w:tc>
          <w:tcPr>
            <w:tcW w:w="2160" w:type="dxa"/>
          </w:tcPr>
          <w:p w14:paraId="42CDEC3C">
            <w:pPr>
              <w:spacing w:after="0" w:line="240" w:lineRule="auto"/>
            </w:pPr>
            <w:r>
              <w:t>/ˈəʊdə/</w:t>
            </w:r>
          </w:p>
        </w:tc>
        <w:tc>
          <w:tcPr>
            <w:tcW w:w="2160" w:type="dxa"/>
          </w:tcPr>
          <w:p w14:paraId="3EA754E5">
            <w:pPr>
              <w:spacing w:after="0" w:line="240" w:lineRule="auto"/>
            </w:pPr>
            <w:r>
              <w:t>hid, yoqimsiz hid</w:t>
            </w:r>
          </w:p>
        </w:tc>
        <w:tc>
          <w:tcPr>
            <w:tcW w:w="2160" w:type="dxa"/>
          </w:tcPr>
          <w:p w14:paraId="73560D20">
            <w:pPr>
              <w:spacing w:after="0" w:line="240" w:lineRule="auto"/>
            </w:pPr>
            <w:r>
              <w:t>запах, неприятный запах</w:t>
            </w:r>
          </w:p>
        </w:tc>
      </w:tr>
      <w:tr w14:paraId="5E5EE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59C792F">
            <w:pPr>
              <w:spacing w:after="0" w:line="240" w:lineRule="auto"/>
            </w:pPr>
            <w:r>
              <w:t>panoramic X-ray</w:t>
            </w:r>
          </w:p>
        </w:tc>
        <w:tc>
          <w:tcPr>
            <w:tcW w:w="2160" w:type="dxa"/>
          </w:tcPr>
          <w:p w14:paraId="7ED86642">
            <w:pPr>
              <w:spacing w:after="0" w:line="240" w:lineRule="auto"/>
            </w:pPr>
            <w:r>
              <w:t>/ˌpænəˈræmɪk ˈeks reɪ/</w:t>
            </w:r>
          </w:p>
        </w:tc>
        <w:tc>
          <w:tcPr>
            <w:tcW w:w="2160" w:type="dxa"/>
          </w:tcPr>
          <w:p w14:paraId="38A70FC6">
            <w:pPr>
              <w:spacing w:after="0" w:line="240" w:lineRule="auto"/>
            </w:pPr>
            <w:r>
              <w:t>panoramik rentgen</w:t>
            </w:r>
          </w:p>
        </w:tc>
        <w:tc>
          <w:tcPr>
            <w:tcW w:w="2160" w:type="dxa"/>
          </w:tcPr>
          <w:p w14:paraId="51CA0432">
            <w:pPr>
              <w:spacing w:after="0" w:line="240" w:lineRule="auto"/>
            </w:pPr>
            <w:r>
              <w:t>панорамный рентген</w:t>
            </w:r>
          </w:p>
        </w:tc>
      </w:tr>
      <w:tr w14:paraId="1D289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F1E717F">
            <w:pPr>
              <w:spacing w:after="0" w:line="240" w:lineRule="auto"/>
            </w:pPr>
            <w:r>
              <w:t>underlying nerves</w:t>
            </w:r>
          </w:p>
        </w:tc>
        <w:tc>
          <w:tcPr>
            <w:tcW w:w="2160" w:type="dxa"/>
          </w:tcPr>
          <w:p w14:paraId="48B8C6FA">
            <w:pPr>
              <w:spacing w:after="0" w:line="240" w:lineRule="auto"/>
            </w:pPr>
            <w:r>
              <w:t>/ˌʌndəˈlaɪɪŋ nɜːvz/</w:t>
            </w:r>
          </w:p>
        </w:tc>
        <w:tc>
          <w:tcPr>
            <w:tcW w:w="2160" w:type="dxa"/>
          </w:tcPr>
          <w:p w14:paraId="4E885309">
            <w:pPr>
              <w:spacing w:after="0" w:line="240" w:lineRule="auto"/>
            </w:pPr>
            <w:r>
              <w:t>ostki nervlar</w:t>
            </w:r>
          </w:p>
        </w:tc>
        <w:tc>
          <w:tcPr>
            <w:tcW w:w="2160" w:type="dxa"/>
          </w:tcPr>
          <w:p w14:paraId="4D361736">
            <w:pPr>
              <w:spacing w:after="0" w:line="240" w:lineRule="auto"/>
            </w:pPr>
            <w:r>
              <w:t>лежащие ниже нервы</w:t>
            </w:r>
          </w:p>
        </w:tc>
      </w:tr>
      <w:tr w14:paraId="20DA6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5B6DB25">
            <w:pPr>
              <w:spacing w:after="0" w:line="240" w:lineRule="auto"/>
            </w:pPr>
            <w:r>
              <w:t>extract</w:t>
            </w:r>
          </w:p>
        </w:tc>
        <w:tc>
          <w:tcPr>
            <w:tcW w:w="2160" w:type="dxa"/>
          </w:tcPr>
          <w:p w14:paraId="5FECD446">
            <w:pPr>
              <w:spacing w:after="0" w:line="240" w:lineRule="auto"/>
            </w:pPr>
            <w:r>
              <w:t>/ɪkˈstrækt/</w:t>
            </w:r>
          </w:p>
        </w:tc>
        <w:tc>
          <w:tcPr>
            <w:tcW w:w="2160" w:type="dxa"/>
          </w:tcPr>
          <w:p w14:paraId="6EF2471B">
            <w:pPr>
              <w:spacing w:after="0" w:line="240" w:lineRule="auto"/>
            </w:pPr>
            <w:r>
              <w:t>tishni olib tashlamoq</w:t>
            </w:r>
          </w:p>
        </w:tc>
        <w:tc>
          <w:tcPr>
            <w:tcW w:w="2160" w:type="dxa"/>
          </w:tcPr>
          <w:p w14:paraId="688F4181">
            <w:pPr>
              <w:spacing w:after="0" w:line="240" w:lineRule="auto"/>
            </w:pPr>
            <w:r>
              <w:t>удалять зуб</w:t>
            </w:r>
          </w:p>
        </w:tc>
      </w:tr>
      <w:tr w14:paraId="72E73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521028C">
            <w:pPr>
              <w:spacing w:after="0" w:line="240" w:lineRule="auto"/>
            </w:pPr>
            <w:r>
              <w:t>ongoing pain</w:t>
            </w:r>
          </w:p>
        </w:tc>
        <w:tc>
          <w:tcPr>
            <w:tcW w:w="2160" w:type="dxa"/>
          </w:tcPr>
          <w:p w14:paraId="30475623">
            <w:pPr>
              <w:spacing w:after="0" w:line="240" w:lineRule="auto"/>
            </w:pPr>
            <w:r>
              <w:t>/ˈɒnɡəʊɪŋ peɪn/</w:t>
            </w:r>
          </w:p>
        </w:tc>
        <w:tc>
          <w:tcPr>
            <w:tcW w:w="2160" w:type="dxa"/>
          </w:tcPr>
          <w:p w14:paraId="568E9A5A">
            <w:pPr>
              <w:spacing w:after="0" w:line="240" w:lineRule="auto"/>
            </w:pPr>
            <w:r>
              <w:t>davom etayotgan og‘riq</w:t>
            </w:r>
          </w:p>
        </w:tc>
        <w:tc>
          <w:tcPr>
            <w:tcW w:w="2160" w:type="dxa"/>
          </w:tcPr>
          <w:p w14:paraId="20CB504F">
            <w:pPr>
              <w:spacing w:after="0" w:line="240" w:lineRule="auto"/>
            </w:pPr>
            <w:r>
              <w:t>продолжающаяся боль</w:t>
            </w:r>
          </w:p>
        </w:tc>
      </w:tr>
      <w:tr w14:paraId="7B112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BA43F40">
            <w:pPr>
              <w:spacing w:after="0" w:line="240" w:lineRule="auto"/>
            </w:pPr>
            <w:r>
              <w:t>long-term solution</w:t>
            </w:r>
          </w:p>
        </w:tc>
        <w:tc>
          <w:tcPr>
            <w:tcW w:w="2160" w:type="dxa"/>
          </w:tcPr>
          <w:p w14:paraId="5D670EDA">
            <w:pPr>
              <w:spacing w:after="0" w:line="240" w:lineRule="auto"/>
            </w:pPr>
            <w:r>
              <w:t>/ˌlɒŋ ˈtɜːm səˈluːʃən/</w:t>
            </w:r>
          </w:p>
        </w:tc>
        <w:tc>
          <w:tcPr>
            <w:tcW w:w="2160" w:type="dxa"/>
          </w:tcPr>
          <w:p w14:paraId="6BFA0E1D">
            <w:pPr>
              <w:spacing w:after="0" w:line="240" w:lineRule="auto"/>
            </w:pPr>
            <w:r>
              <w:t>uzoq muddatli yechim</w:t>
            </w:r>
          </w:p>
        </w:tc>
        <w:tc>
          <w:tcPr>
            <w:tcW w:w="2160" w:type="dxa"/>
          </w:tcPr>
          <w:p w14:paraId="3BF7E4FB">
            <w:pPr>
              <w:spacing w:after="0" w:line="240" w:lineRule="auto"/>
            </w:pPr>
            <w:r>
              <w:t>долгосрочное решение</w:t>
            </w:r>
          </w:p>
        </w:tc>
      </w:tr>
      <w:tr w14:paraId="53D8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2C393AA">
            <w:pPr>
              <w:spacing w:after="0" w:line="240" w:lineRule="auto"/>
            </w:pPr>
            <w:r>
              <w:t>leave it alone</w:t>
            </w:r>
          </w:p>
        </w:tc>
        <w:tc>
          <w:tcPr>
            <w:tcW w:w="2160" w:type="dxa"/>
          </w:tcPr>
          <w:p w14:paraId="474C61C2">
            <w:pPr>
              <w:spacing w:after="0" w:line="240" w:lineRule="auto"/>
            </w:pPr>
            <w:r>
              <w:t>/liːv ɪt əˈləʊn/</w:t>
            </w:r>
          </w:p>
        </w:tc>
        <w:tc>
          <w:tcPr>
            <w:tcW w:w="2160" w:type="dxa"/>
          </w:tcPr>
          <w:p w14:paraId="6F7D7C4E">
            <w:pPr>
              <w:spacing w:after="0" w:line="240" w:lineRule="auto"/>
            </w:pPr>
            <w:r>
              <w:t>hozircha tegmaslik</w:t>
            </w:r>
          </w:p>
        </w:tc>
        <w:tc>
          <w:tcPr>
            <w:tcW w:w="2160" w:type="dxa"/>
          </w:tcPr>
          <w:p w14:paraId="1A4CA68F">
            <w:pPr>
              <w:spacing w:after="0" w:line="240" w:lineRule="auto"/>
            </w:pPr>
            <w:r>
              <w:t>пока не трогать</w:t>
            </w:r>
          </w:p>
        </w:tc>
      </w:tr>
      <w:tr w14:paraId="5377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97F086C">
            <w:pPr>
              <w:spacing w:after="0" w:line="240" w:lineRule="auto"/>
            </w:pPr>
            <w:r>
              <w:t>untreated</w:t>
            </w:r>
          </w:p>
        </w:tc>
        <w:tc>
          <w:tcPr>
            <w:tcW w:w="2160" w:type="dxa"/>
          </w:tcPr>
          <w:p w14:paraId="6E80D0D4">
            <w:pPr>
              <w:spacing w:after="0" w:line="240" w:lineRule="auto"/>
            </w:pPr>
            <w:r>
              <w:t>/ˌʌnˈtriːtɪd/</w:t>
            </w:r>
          </w:p>
        </w:tc>
        <w:tc>
          <w:tcPr>
            <w:tcW w:w="2160" w:type="dxa"/>
          </w:tcPr>
          <w:p w14:paraId="7462D89F">
            <w:pPr>
              <w:spacing w:after="0" w:line="240" w:lineRule="auto"/>
            </w:pPr>
            <w:r>
              <w:t>davolanmagan</w:t>
            </w:r>
          </w:p>
        </w:tc>
        <w:tc>
          <w:tcPr>
            <w:tcW w:w="2160" w:type="dxa"/>
          </w:tcPr>
          <w:p w14:paraId="21312BFF">
            <w:pPr>
              <w:spacing w:after="0" w:line="240" w:lineRule="auto"/>
            </w:pPr>
            <w:r>
              <w:t>нелечёный</w:t>
            </w:r>
          </w:p>
        </w:tc>
      </w:tr>
      <w:tr w14:paraId="4AC4D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61FD406">
            <w:pPr>
              <w:spacing w:after="0" w:line="240" w:lineRule="auto"/>
            </w:pPr>
            <w:r>
              <w:t>recur</w:t>
            </w:r>
          </w:p>
        </w:tc>
        <w:tc>
          <w:tcPr>
            <w:tcW w:w="2160" w:type="dxa"/>
          </w:tcPr>
          <w:p w14:paraId="67A93B90">
            <w:pPr>
              <w:spacing w:after="0" w:line="240" w:lineRule="auto"/>
            </w:pPr>
            <w:r>
              <w:t>/rɪˈkɜː/</w:t>
            </w:r>
          </w:p>
        </w:tc>
        <w:tc>
          <w:tcPr>
            <w:tcW w:w="2160" w:type="dxa"/>
          </w:tcPr>
          <w:p w14:paraId="0E80AB93">
            <w:pPr>
              <w:spacing w:after="0" w:line="240" w:lineRule="auto"/>
            </w:pPr>
            <w:r>
              <w:t>qaytalanmoq</w:t>
            </w:r>
          </w:p>
        </w:tc>
        <w:tc>
          <w:tcPr>
            <w:tcW w:w="2160" w:type="dxa"/>
          </w:tcPr>
          <w:p w14:paraId="79CC3246">
            <w:pPr>
              <w:spacing w:after="0" w:line="240" w:lineRule="auto"/>
            </w:pPr>
            <w:r>
              <w:t>повторяться</w:t>
            </w:r>
          </w:p>
        </w:tc>
      </w:tr>
      <w:tr w14:paraId="4F55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810769D">
            <w:pPr>
              <w:spacing w:after="0" w:line="240" w:lineRule="auto"/>
            </w:pPr>
            <w:r>
              <w:t>findings</w:t>
            </w:r>
          </w:p>
        </w:tc>
        <w:tc>
          <w:tcPr>
            <w:tcW w:w="2160" w:type="dxa"/>
          </w:tcPr>
          <w:p w14:paraId="0A776EDE">
            <w:pPr>
              <w:spacing w:after="0" w:line="240" w:lineRule="auto"/>
            </w:pPr>
            <w:r>
              <w:t>/ˈfaɪndɪŋz/</w:t>
            </w:r>
          </w:p>
        </w:tc>
        <w:tc>
          <w:tcPr>
            <w:tcW w:w="2160" w:type="dxa"/>
          </w:tcPr>
          <w:p w14:paraId="0A77C92E">
            <w:pPr>
              <w:spacing w:after="0" w:line="240" w:lineRule="auto"/>
            </w:pPr>
            <w:r>
              <w:t>tekshiruv natijalari</w:t>
            </w:r>
          </w:p>
        </w:tc>
        <w:tc>
          <w:tcPr>
            <w:tcW w:w="2160" w:type="dxa"/>
          </w:tcPr>
          <w:p w14:paraId="2C074F50">
            <w:pPr>
              <w:spacing w:after="0" w:line="240" w:lineRule="auto"/>
            </w:pPr>
            <w:r>
              <w:t>результаты обследования</w:t>
            </w:r>
          </w:p>
        </w:tc>
      </w:tr>
    </w:tbl>
    <w:p w14:paraId="7AAC3A07">
      <w:pPr>
        <w:pStyle w:val="2"/>
      </w:pPr>
      <w:r>
        <w:t>2. SMART PHRASEBOOK — Impacted Wisdom Tooth</w:t>
      </w:r>
    </w:p>
    <w:p w14:paraId="3B168B94">
      <w:r>
        <w:t>Smart Phrasebook talaba suhbatni bosqichma-bosqich olib borishi va bemorning javoblarini tushunishi uchun tuzilgan. Har bir muhim shifokor savoliga dialogdagi tabiiy javob va uning o‘zbekcha hamda ruscha tarjimasi berilgan.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1155"/>
        <w:gridCol w:w="1233"/>
        <w:gridCol w:w="1294"/>
        <w:gridCol w:w="1027"/>
        <w:gridCol w:w="1634"/>
        <w:gridCol w:w="1320"/>
      </w:tblGrid>
      <w:tr w14:paraId="4EA2B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280699B5">
            <w:pPr>
              <w:spacing w:after="0" w:line="240" w:lineRule="auto"/>
            </w:pPr>
            <w:r>
              <w:rPr>
                <w:b/>
              </w:rPr>
              <w:t>Bosqich</w:t>
            </w:r>
          </w:p>
        </w:tc>
        <w:tc>
          <w:tcPr>
            <w:tcW w:w="1234" w:type="dxa"/>
          </w:tcPr>
          <w:p w14:paraId="6FC54CC1">
            <w:pPr>
              <w:spacing w:after="0" w:line="240" w:lineRule="auto"/>
            </w:pPr>
            <w:r>
              <w:rPr>
                <w:b/>
              </w:rPr>
              <w:t>Doctor — English</w:t>
            </w:r>
          </w:p>
        </w:tc>
        <w:tc>
          <w:tcPr>
            <w:tcW w:w="1234" w:type="dxa"/>
          </w:tcPr>
          <w:p w14:paraId="7114AC65">
            <w:pPr>
              <w:spacing w:after="0" w:line="240" w:lineRule="auto"/>
            </w:pPr>
            <w:r>
              <w:rPr>
                <w:b/>
              </w:rPr>
              <w:t>Talaffuzi</w:t>
            </w:r>
          </w:p>
        </w:tc>
        <w:tc>
          <w:tcPr>
            <w:tcW w:w="1234" w:type="dxa"/>
          </w:tcPr>
          <w:p w14:paraId="1D79B46B">
            <w:pPr>
              <w:spacing w:after="0" w:line="240" w:lineRule="auto"/>
            </w:pPr>
            <w:r>
              <w:rPr>
                <w:b/>
              </w:rPr>
              <w:t>O‘zbekcha</w:t>
            </w:r>
          </w:p>
        </w:tc>
        <w:tc>
          <w:tcPr>
            <w:tcW w:w="1234" w:type="dxa"/>
          </w:tcPr>
          <w:p w14:paraId="62EA4A2B">
            <w:pPr>
              <w:spacing w:after="0" w:line="240" w:lineRule="auto"/>
            </w:pPr>
            <w:r>
              <w:rPr>
                <w:b/>
              </w:rPr>
              <w:t>Patient — English</w:t>
            </w:r>
          </w:p>
        </w:tc>
        <w:tc>
          <w:tcPr>
            <w:tcW w:w="1234" w:type="dxa"/>
          </w:tcPr>
          <w:p w14:paraId="487F0F6D">
            <w:pPr>
              <w:spacing w:after="0" w:line="240" w:lineRule="auto"/>
            </w:pPr>
            <w:r>
              <w:rPr>
                <w:b/>
              </w:rPr>
              <w:t>O‘zbekcha</w:t>
            </w:r>
          </w:p>
        </w:tc>
        <w:tc>
          <w:tcPr>
            <w:tcW w:w="1234" w:type="dxa"/>
          </w:tcPr>
          <w:p w14:paraId="6EAD5E3C">
            <w:pPr>
              <w:spacing w:after="0" w:line="240" w:lineRule="auto"/>
            </w:pPr>
            <w:r>
              <w:rPr>
                <w:b/>
              </w:rPr>
              <w:t>Русский</w:t>
            </w:r>
          </w:p>
        </w:tc>
      </w:tr>
      <w:tr w14:paraId="1849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3B05E364">
            <w:pPr>
              <w:spacing w:after="0" w:line="240" w:lineRule="auto"/>
            </w:pPr>
            <w:r>
              <w:t>1. Opening</w:t>
            </w:r>
          </w:p>
        </w:tc>
        <w:tc>
          <w:tcPr>
            <w:tcW w:w="1234" w:type="dxa"/>
          </w:tcPr>
          <w:p w14:paraId="74CF923B">
            <w:pPr>
              <w:spacing w:after="0" w:line="240" w:lineRule="auto"/>
            </w:pPr>
            <w:r>
              <w:t>What brings you in today?</w:t>
            </w:r>
          </w:p>
        </w:tc>
        <w:tc>
          <w:tcPr>
            <w:tcW w:w="1234" w:type="dxa"/>
          </w:tcPr>
          <w:p w14:paraId="39D10D9D">
            <w:pPr>
              <w:spacing w:after="0" w:line="240" w:lineRule="auto"/>
            </w:pPr>
            <w:r>
              <w:t>/wɒt brɪŋz juː ɪn təˈdeɪ/</w:t>
            </w:r>
          </w:p>
        </w:tc>
        <w:tc>
          <w:tcPr>
            <w:tcW w:w="1234" w:type="dxa"/>
          </w:tcPr>
          <w:p w14:paraId="1B518FED">
            <w:pPr>
              <w:spacing w:after="0" w:line="240" w:lineRule="auto"/>
            </w:pPr>
            <w:r>
              <w:t>Bugun sizni nima olib keldi?</w:t>
            </w:r>
          </w:p>
        </w:tc>
        <w:tc>
          <w:tcPr>
            <w:tcW w:w="1234" w:type="dxa"/>
          </w:tcPr>
          <w:p w14:paraId="2801EB06">
            <w:pPr>
              <w:spacing w:after="0" w:line="240" w:lineRule="auto"/>
            </w:pPr>
            <w:r>
              <w:t>I’ve been having a persistent, throbbing ache near the back of my lower jaw.</w:t>
            </w:r>
          </w:p>
        </w:tc>
        <w:tc>
          <w:tcPr>
            <w:tcW w:w="1234" w:type="dxa"/>
          </w:tcPr>
          <w:p w14:paraId="3192B3A0">
            <w:pPr>
              <w:spacing w:after="0" w:line="240" w:lineRule="auto"/>
            </w:pPr>
            <w:r>
              <w:t>Pastki jag‘imning orqa qismida doimiy, urib turadigan og‘riq bo‘lyapti.</w:t>
            </w:r>
          </w:p>
        </w:tc>
        <w:tc>
          <w:tcPr>
            <w:tcW w:w="1234" w:type="dxa"/>
          </w:tcPr>
          <w:p w14:paraId="6FB47D30">
            <w:pPr>
              <w:spacing w:after="0" w:line="240" w:lineRule="auto"/>
            </w:pPr>
            <w:r>
              <w:t>У меня постоянная пульсирующая боль в задней части нижней челюсти.</w:t>
            </w:r>
          </w:p>
        </w:tc>
      </w:tr>
      <w:tr w14:paraId="6293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5A2911EB">
            <w:pPr>
              <w:spacing w:after="0" w:line="240" w:lineRule="auto"/>
            </w:pPr>
            <w:r>
              <w:t>2. Pain &amp; Symptoms</w:t>
            </w:r>
          </w:p>
        </w:tc>
        <w:tc>
          <w:tcPr>
            <w:tcW w:w="1234" w:type="dxa"/>
          </w:tcPr>
          <w:p w14:paraId="561B32F5">
            <w:pPr>
              <w:spacing w:after="0" w:line="240" w:lineRule="auto"/>
            </w:pPr>
            <w:r>
              <w:t>Has it become difficult to chew on that side?</w:t>
            </w:r>
          </w:p>
        </w:tc>
        <w:tc>
          <w:tcPr>
            <w:tcW w:w="1234" w:type="dxa"/>
          </w:tcPr>
          <w:p w14:paraId="00ECC679">
            <w:pPr>
              <w:spacing w:after="0" w:line="240" w:lineRule="auto"/>
            </w:pPr>
            <w:r>
              <w:t>/hæz ɪt bɪˈkʌm ˈdɪfɪkəlt tə tʃuː/</w:t>
            </w:r>
          </w:p>
        </w:tc>
        <w:tc>
          <w:tcPr>
            <w:tcW w:w="1234" w:type="dxa"/>
          </w:tcPr>
          <w:p w14:paraId="3547EAF5">
            <w:pPr>
              <w:spacing w:after="0" w:line="240" w:lineRule="auto"/>
            </w:pPr>
            <w:r>
              <w:t>Shu tomonda chaynash qiyinlashdimi?</w:t>
            </w:r>
          </w:p>
        </w:tc>
        <w:tc>
          <w:tcPr>
            <w:tcW w:w="1234" w:type="dxa"/>
          </w:tcPr>
          <w:p w14:paraId="37BDEFF6">
            <w:pPr>
              <w:spacing w:after="0" w:line="240" w:lineRule="auto"/>
            </w:pPr>
            <w:r>
              <w:t>It’s gotten quite painful to chew, and my jaw feels a bit stiff.</w:t>
            </w:r>
          </w:p>
        </w:tc>
        <w:tc>
          <w:tcPr>
            <w:tcW w:w="1234" w:type="dxa"/>
          </w:tcPr>
          <w:p w14:paraId="1AFDEC51">
            <w:pPr>
              <w:spacing w:after="0" w:line="240" w:lineRule="auto"/>
            </w:pPr>
            <w:r>
              <w:t>Chaynash ancha og‘riqli bo‘lib qoldi va jag‘im biroz qotib qolgandek.</w:t>
            </w:r>
          </w:p>
        </w:tc>
        <w:tc>
          <w:tcPr>
            <w:tcW w:w="1234" w:type="dxa"/>
          </w:tcPr>
          <w:p w14:paraId="384771DC">
            <w:pPr>
              <w:spacing w:after="0" w:line="240" w:lineRule="auto"/>
            </w:pPr>
            <w:r>
              <w:t>Жевать стало довольно больно, и челюсть немного скована.</w:t>
            </w:r>
          </w:p>
        </w:tc>
      </w:tr>
      <w:tr w14:paraId="3903C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14976523">
            <w:pPr>
              <w:spacing w:after="0" w:line="240" w:lineRule="auto"/>
            </w:pPr>
            <w:r>
              <w:t>3. Examination</w:t>
            </w:r>
          </w:p>
        </w:tc>
        <w:tc>
          <w:tcPr>
            <w:tcW w:w="1234" w:type="dxa"/>
          </w:tcPr>
          <w:p w14:paraId="2D21D492">
            <w:pPr>
              <w:spacing w:after="0" w:line="240" w:lineRule="auto"/>
            </w:pPr>
            <w:r>
              <w:t>Could you tilt your head back and open your mouth as wide as you comfortably can?</w:t>
            </w:r>
          </w:p>
        </w:tc>
        <w:tc>
          <w:tcPr>
            <w:tcW w:w="1234" w:type="dxa"/>
          </w:tcPr>
          <w:p w14:paraId="3B102603">
            <w:pPr>
              <w:spacing w:after="0" w:line="240" w:lineRule="auto"/>
            </w:pPr>
            <w:r>
              <w:t>/kʊd juː tɪlt jɔː hed bæk ænd ˈəʊpən jɔː maʊθ/</w:t>
            </w:r>
          </w:p>
        </w:tc>
        <w:tc>
          <w:tcPr>
            <w:tcW w:w="1234" w:type="dxa"/>
          </w:tcPr>
          <w:p w14:paraId="0BE2B7BF">
            <w:pPr>
              <w:spacing w:after="0" w:line="240" w:lineRule="auto"/>
            </w:pPr>
            <w:r>
              <w:t>Boshingizni orqaga egib, qulay bo‘lgan darajada og‘zingizni ochib olasizmi?</w:t>
            </w:r>
          </w:p>
        </w:tc>
        <w:tc>
          <w:tcPr>
            <w:tcW w:w="1234" w:type="dxa"/>
          </w:tcPr>
          <w:p w14:paraId="5A501329">
            <w:pPr>
              <w:spacing w:after="0" w:line="240" w:lineRule="auto"/>
            </w:pPr>
            <w:r>
              <w:t>Sure. Like this?</w:t>
            </w:r>
          </w:p>
        </w:tc>
        <w:tc>
          <w:tcPr>
            <w:tcW w:w="1234" w:type="dxa"/>
          </w:tcPr>
          <w:p w14:paraId="5AED2C90">
            <w:pPr>
              <w:spacing w:after="0" w:line="240" w:lineRule="auto"/>
            </w:pPr>
            <w:r>
              <w:t>Albatta. Shundaymi?</w:t>
            </w:r>
          </w:p>
        </w:tc>
        <w:tc>
          <w:tcPr>
            <w:tcW w:w="1234" w:type="dxa"/>
          </w:tcPr>
          <w:p w14:paraId="5051E498">
            <w:pPr>
              <w:spacing w:after="0" w:line="240" w:lineRule="auto"/>
            </w:pPr>
            <w:r>
              <w:t>Конечно. Вот так?</w:t>
            </w:r>
          </w:p>
        </w:tc>
      </w:tr>
      <w:tr w14:paraId="15902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7960E31E">
            <w:pPr>
              <w:spacing w:after="0" w:line="240" w:lineRule="auto"/>
            </w:pPr>
            <w:r>
              <w:t>4. Clinical Finding</w:t>
            </w:r>
          </w:p>
        </w:tc>
        <w:tc>
          <w:tcPr>
            <w:tcW w:w="1234" w:type="dxa"/>
          </w:tcPr>
          <w:p w14:paraId="6CF3D92F">
            <w:pPr>
              <w:spacing w:after="0" w:line="240" w:lineRule="auto"/>
            </w:pPr>
            <w:r>
              <w:t>I can see that your lower back molar hasn’t fully come through.</w:t>
            </w:r>
          </w:p>
        </w:tc>
        <w:tc>
          <w:tcPr>
            <w:tcW w:w="1234" w:type="dxa"/>
          </w:tcPr>
          <w:p w14:paraId="538313A2">
            <w:pPr>
              <w:spacing w:after="0" w:line="240" w:lineRule="auto"/>
            </w:pPr>
            <w:r>
              <w:t>/aɪ kən siː ðæt jɔː ˈləʊə bæk ˈməʊlə hæznt ˈfʊli kʌm θruː/</w:t>
            </w:r>
          </w:p>
        </w:tc>
        <w:tc>
          <w:tcPr>
            <w:tcW w:w="1234" w:type="dxa"/>
          </w:tcPr>
          <w:p w14:paraId="46DD4241">
            <w:pPr>
              <w:spacing w:after="0" w:line="240" w:lineRule="auto"/>
            </w:pPr>
            <w:r>
              <w:t>Pastki orqa jag‘ tishingiz to‘liq chiqmaganini ko‘ryapman.</w:t>
            </w:r>
          </w:p>
        </w:tc>
        <w:tc>
          <w:tcPr>
            <w:tcW w:w="1234" w:type="dxa"/>
          </w:tcPr>
          <w:p w14:paraId="17885E05">
            <w:pPr>
              <w:spacing w:after="0" w:line="240" w:lineRule="auto"/>
            </w:pPr>
            <w:r>
              <w:t>Oh, is it growing in the wrong direction?</w:t>
            </w:r>
          </w:p>
        </w:tc>
        <w:tc>
          <w:tcPr>
            <w:tcW w:w="1234" w:type="dxa"/>
          </w:tcPr>
          <w:p w14:paraId="6481FDB2">
            <w:pPr>
              <w:spacing w:after="0" w:line="240" w:lineRule="auto"/>
            </w:pPr>
            <w:r>
              <w:t>Oh, u noto‘g‘ri yo‘nalishda o‘sayaptimi?</w:t>
            </w:r>
          </w:p>
        </w:tc>
        <w:tc>
          <w:tcPr>
            <w:tcW w:w="1234" w:type="dxa"/>
          </w:tcPr>
          <w:p w14:paraId="24EED5D7">
            <w:pPr>
              <w:spacing w:after="0" w:line="240" w:lineRule="auto"/>
            </w:pPr>
            <w:r>
              <w:t>О, он растёт в неправильном направлении?</w:t>
            </w:r>
          </w:p>
        </w:tc>
      </w:tr>
      <w:tr w14:paraId="32DA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4D97B920">
            <w:pPr>
              <w:spacing w:after="0" w:line="240" w:lineRule="auto"/>
            </w:pPr>
            <w:r>
              <w:t>5. Diagnosis</w:t>
            </w:r>
          </w:p>
        </w:tc>
        <w:tc>
          <w:tcPr>
            <w:tcW w:w="1234" w:type="dxa"/>
          </w:tcPr>
          <w:p w14:paraId="14C71417">
            <w:pPr>
              <w:spacing w:after="0" w:line="240" w:lineRule="auto"/>
            </w:pPr>
            <w:r>
              <w:t>It appears so. The tooth seems to be coming in at an angle.</w:t>
            </w:r>
          </w:p>
        </w:tc>
        <w:tc>
          <w:tcPr>
            <w:tcW w:w="1234" w:type="dxa"/>
          </w:tcPr>
          <w:p w14:paraId="53674E8D">
            <w:pPr>
              <w:spacing w:after="0" w:line="240" w:lineRule="auto"/>
            </w:pPr>
            <w:r>
              <w:t>/ɪt əˈpɪəz səʊ/</w:t>
            </w:r>
          </w:p>
        </w:tc>
        <w:tc>
          <w:tcPr>
            <w:tcW w:w="1234" w:type="dxa"/>
          </w:tcPr>
          <w:p w14:paraId="4E214996">
            <w:pPr>
              <w:spacing w:after="0" w:line="240" w:lineRule="auto"/>
            </w:pPr>
            <w:r>
              <w:t>Shunday ko‘rinadi. Tish qiyshiq yo‘nalishda chiqayotganga o‘xshaydi.</w:t>
            </w:r>
          </w:p>
        </w:tc>
        <w:tc>
          <w:tcPr>
            <w:tcW w:w="1234" w:type="dxa"/>
          </w:tcPr>
          <w:p w14:paraId="08621541">
            <w:pPr>
              <w:spacing w:after="0" w:line="240" w:lineRule="auto"/>
            </w:pPr>
            <w:r>
              <w:t>Does that mean it’s an impacted wisdom tooth?</w:t>
            </w:r>
          </w:p>
        </w:tc>
        <w:tc>
          <w:tcPr>
            <w:tcW w:w="1234" w:type="dxa"/>
          </w:tcPr>
          <w:p w14:paraId="1D70AE72">
            <w:pPr>
              <w:spacing w:after="0" w:line="240" w:lineRule="auto"/>
            </w:pPr>
            <w:r>
              <w:t>Bu impaktatsiyalangan aql tishi deganimi?</w:t>
            </w:r>
          </w:p>
        </w:tc>
        <w:tc>
          <w:tcPr>
            <w:tcW w:w="1234" w:type="dxa"/>
          </w:tcPr>
          <w:p w14:paraId="111F6D38">
            <w:pPr>
              <w:spacing w:after="0" w:line="240" w:lineRule="auto"/>
            </w:pPr>
            <w:r>
              <w:t>Это значит, что это ретинированный зуб мудрости?</w:t>
            </w:r>
          </w:p>
        </w:tc>
      </w:tr>
      <w:tr w14:paraId="77BD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3B57B0E2">
            <w:pPr>
              <w:spacing w:after="0" w:line="240" w:lineRule="auto"/>
            </w:pPr>
            <w:r>
              <w:t>6. Risk Explanation</w:t>
            </w:r>
          </w:p>
        </w:tc>
        <w:tc>
          <w:tcPr>
            <w:tcW w:w="1234" w:type="dxa"/>
          </w:tcPr>
          <w:p w14:paraId="6DF1F598">
            <w:pPr>
              <w:spacing w:after="0" w:line="240" w:lineRule="auto"/>
            </w:pPr>
            <w:r>
              <w:t>It can exert constant pressure against the adjacent tooth.</w:t>
            </w:r>
          </w:p>
        </w:tc>
        <w:tc>
          <w:tcPr>
            <w:tcW w:w="1234" w:type="dxa"/>
          </w:tcPr>
          <w:p w14:paraId="103E8964">
            <w:pPr>
              <w:spacing w:after="0" w:line="240" w:lineRule="auto"/>
            </w:pPr>
            <w:r>
              <w:t>/ɪt kən ɪɡˈzɜːt ˈkɒnstənt ˈpreʃə əˈɡenst ði əˈdʒeɪsənt tuːθ/</w:t>
            </w:r>
          </w:p>
        </w:tc>
        <w:tc>
          <w:tcPr>
            <w:tcW w:w="1234" w:type="dxa"/>
          </w:tcPr>
          <w:p w14:paraId="6FBE7E5B">
            <w:pPr>
              <w:spacing w:after="0" w:line="240" w:lineRule="auto"/>
            </w:pPr>
            <w:r>
              <w:t>U qo‘shni tishga doimiy bosim o‘tkazishi mumkin.</w:t>
            </w:r>
          </w:p>
        </w:tc>
        <w:tc>
          <w:tcPr>
            <w:tcW w:w="1234" w:type="dxa"/>
          </w:tcPr>
          <w:p w14:paraId="15852D00">
            <w:pPr>
              <w:spacing w:after="0" w:line="240" w:lineRule="auto"/>
            </w:pPr>
            <w:r>
              <w:t>Could this damage the healthy tooth next to it?</w:t>
            </w:r>
          </w:p>
        </w:tc>
        <w:tc>
          <w:tcPr>
            <w:tcW w:w="1234" w:type="dxa"/>
          </w:tcPr>
          <w:p w14:paraId="481B6763">
            <w:pPr>
              <w:spacing w:after="0" w:line="240" w:lineRule="auto"/>
            </w:pPr>
            <w:r>
              <w:t>Bu yonidagi sog‘lom tishga zarar yetkazishi mumkinmi?</w:t>
            </w:r>
          </w:p>
        </w:tc>
        <w:tc>
          <w:tcPr>
            <w:tcW w:w="1234" w:type="dxa"/>
          </w:tcPr>
          <w:p w14:paraId="7891F0F1">
            <w:pPr>
              <w:spacing w:after="0" w:line="240" w:lineRule="auto"/>
            </w:pPr>
            <w:r>
              <w:t>Это может повредить соседний здоровый зуб?</w:t>
            </w:r>
          </w:p>
        </w:tc>
      </w:tr>
      <w:tr w14:paraId="4DBB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5E7850C2">
            <w:pPr>
              <w:spacing w:after="0" w:line="240" w:lineRule="auto"/>
            </w:pPr>
            <w:r>
              <w:t>7. Inflammation</w:t>
            </w:r>
          </w:p>
        </w:tc>
        <w:tc>
          <w:tcPr>
            <w:tcW w:w="1234" w:type="dxa"/>
          </w:tcPr>
          <w:p w14:paraId="31C37AB2">
            <w:pPr>
              <w:spacing w:after="0" w:line="240" w:lineRule="auto"/>
            </w:pPr>
            <w:r>
              <w:t>Food debris and bacteria tend to gather under the gum flap.</w:t>
            </w:r>
          </w:p>
        </w:tc>
        <w:tc>
          <w:tcPr>
            <w:tcW w:w="1234" w:type="dxa"/>
          </w:tcPr>
          <w:p w14:paraId="3853AC6D">
            <w:pPr>
              <w:spacing w:after="0" w:line="240" w:lineRule="auto"/>
            </w:pPr>
            <w:r>
              <w:t>/fuːd ˈdebriː ænd bækˈtɪəriə tend tə ˈɡæðə/</w:t>
            </w:r>
          </w:p>
        </w:tc>
        <w:tc>
          <w:tcPr>
            <w:tcW w:w="1234" w:type="dxa"/>
          </w:tcPr>
          <w:p w14:paraId="01204EAA">
            <w:pPr>
              <w:spacing w:after="0" w:line="240" w:lineRule="auto"/>
            </w:pPr>
            <w:r>
              <w:t>Oziq-ovqat qoldiqlari va bakteriyalar milk qopqog‘i ostida to‘planishga moyil.</w:t>
            </w:r>
          </w:p>
        </w:tc>
        <w:tc>
          <w:tcPr>
            <w:tcW w:w="1234" w:type="dxa"/>
          </w:tcPr>
          <w:p w14:paraId="7CFDC683">
            <w:pPr>
              <w:spacing w:after="0" w:line="240" w:lineRule="auto"/>
            </w:pPr>
            <w:r>
              <w:t>I’ve noticed an unpleasant taste in my mouth lately.</w:t>
            </w:r>
          </w:p>
        </w:tc>
        <w:tc>
          <w:tcPr>
            <w:tcW w:w="1234" w:type="dxa"/>
          </w:tcPr>
          <w:p w14:paraId="6DEB5B6E">
            <w:pPr>
              <w:spacing w:after="0" w:line="240" w:lineRule="auto"/>
            </w:pPr>
            <w:r>
              <w:t>So‘nggi paytlarda og‘zimda yoqimsiz ta’m sezdim.</w:t>
            </w:r>
          </w:p>
        </w:tc>
        <w:tc>
          <w:tcPr>
            <w:tcW w:w="1234" w:type="dxa"/>
          </w:tcPr>
          <w:p w14:paraId="7D5EA450">
            <w:pPr>
              <w:spacing w:after="0" w:line="240" w:lineRule="auto"/>
            </w:pPr>
            <w:r>
              <w:t>В последнее время я заметил неприятный вкус во рту.</w:t>
            </w:r>
          </w:p>
        </w:tc>
      </w:tr>
      <w:tr w14:paraId="0BDE3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56230218">
            <w:pPr>
              <w:spacing w:after="0" w:line="240" w:lineRule="auto"/>
            </w:pPr>
            <w:r>
              <w:t>8. X-ray &amp; Plan</w:t>
            </w:r>
          </w:p>
        </w:tc>
        <w:tc>
          <w:tcPr>
            <w:tcW w:w="1234" w:type="dxa"/>
          </w:tcPr>
          <w:p w14:paraId="3DE1A24A">
            <w:pPr>
              <w:spacing w:after="0" w:line="240" w:lineRule="auto"/>
            </w:pPr>
            <w:r>
              <w:t>The next step is to take a panoramic X-ray.</w:t>
            </w:r>
          </w:p>
        </w:tc>
        <w:tc>
          <w:tcPr>
            <w:tcW w:w="1234" w:type="dxa"/>
          </w:tcPr>
          <w:p w14:paraId="06929A73">
            <w:pPr>
              <w:spacing w:after="0" w:line="240" w:lineRule="auto"/>
            </w:pPr>
            <w:r>
              <w:t>/ðə nekst step ɪz tə teɪk ə ˌpænəˈræmɪk ˈeks reɪ/</w:t>
            </w:r>
          </w:p>
        </w:tc>
        <w:tc>
          <w:tcPr>
            <w:tcW w:w="1234" w:type="dxa"/>
          </w:tcPr>
          <w:p w14:paraId="7A303214">
            <w:pPr>
              <w:spacing w:after="0" w:line="240" w:lineRule="auto"/>
            </w:pPr>
            <w:r>
              <w:t>Keyingi qadam — panoramik rentgen qilish.</w:t>
            </w:r>
          </w:p>
        </w:tc>
        <w:tc>
          <w:tcPr>
            <w:tcW w:w="1234" w:type="dxa"/>
          </w:tcPr>
          <w:p w14:paraId="5C336767">
            <w:pPr>
              <w:spacing w:after="0" w:line="240" w:lineRule="auto"/>
            </w:pPr>
            <w:r>
              <w:t>What should we do next?</w:t>
            </w:r>
          </w:p>
        </w:tc>
        <w:tc>
          <w:tcPr>
            <w:tcW w:w="1234" w:type="dxa"/>
          </w:tcPr>
          <w:p w14:paraId="136A3F13">
            <w:pPr>
              <w:spacing w:after="0" w:line="240" w:lineRule="auto"/>
            </w:pPr>
            <w:r>
              <w:t>Keyin nima qilishimiz kerak?</w:t>
            </w:r>
          </w:p>
        </w:tc>
        <w:tc>
          <w:tcPr>
            <w:tcW w:w="1234" w:type="dxa"/>
          </w:tcPr>
          <w:p w14:paraId="4B07C0A8">
            <w:pPr>
              <w:spacing w:after="0" w:line="240" w:lineRule="auto"/>
            </w:pPr>
            <w:r>
              <w:t>Что нам делать дальше?</w:t>
            </w:r>
          </w:p>
        </w:tc>
      </w:tr>
      <w:tr w14:paraId="34F6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7C9768B2">
            <w:pPr>
              <w:spacing w:after="0" w:line="240" w:lineRule="auto"/>
            </w:pPr>
            <w:r>
              <w:t>9. Treatment Decision</w:t>
            </w:r>
          </w:p>
        </w:tc>
        <w:tc>
          <w:tcPr>
            <w:tcW w:w="1234" w:type="dxa"/>
          </w:tcPr>
          <w:p w14:paraId="5FD65AE6">
            <w:pPr>
              <w:spacing w:after="0" w:line="240" w:lineRule="auto"/>
            </w:pPr>
            <w:r>
              <w:t>Quite possibly. Extraction is usually the safest long-term solution.</w:t>
            </w:r>
          </w:p>
        </w:tc>
        <w:tc>
          <w:tcPr>
            <w:tcW w:w="1234" w:type="dxa"/>
          </w:tcPr>
          <w:p w14:paraId="11EF22D7">
            <w:pPr>
              <w:spacing w:after="0" w:line="240" w:lineRule="auto"/>
            </w:pPr>
            <w:r>
              <w:t>/kwaɪt ˈpɒsəbli/</w:t>
            </w:r>
          </w:p>
        </w:tc>
        <w:tc>
          <w:tcPr>
            <w:tcW w:w="1234" w:type="dxa"/>
          </w:tcPr>
          <w:p w14:paraId="548F1897">
            <w:pPr>
              <w:spacing w:after="0" w:line="240" w:lineRule="auto"/>
            </w:pPr>
            <w:r>
              <w:t>Ehtimol, ha. Ekstraksiya odatda eng xavfsiz uzoq muddatli yechim hisoblanadi.</w:t>
            </w:r>
          </w:p>
        </w:tc>
        <w:tc>
          <w:tcPr>
            <w:tcW w:w="1234" w:type="dxa"/>
          </w:tcPr>
          <w:p w14:paraId="5A81DFC6">
            <w:pPr>
              <w:spacing w:after="0" w:line="240" w:lineRule="auto"/>
            </w:pPr>
            <w:r>
              <w:t>Will I need to have it extracted?</w:t>
            </w:r>
          </w:p>
        </w:tc>
        <w:tc>
          <w:tcPr>
            <w:tcW w:w="1234" w:type="dxa"/>
          </w:tcPr>
          <w:p w14:paraId="5E50394C">
            <w:pPr>
              <w:spacing w:after="0" w:line="240" w:lineRule="auto"/>
            </w:pPr>
            <w:r>
              <w:t>Uni olib tashlashimga to‘g‘ri keladimi?</w:t>
            </w:r>
          </w:p>
        </w:tc>
        <w:tc>
          <w:tcPr>
            <w:tcW w:w="1234" w:type="dxa"/>
          </w:tcPr>
          <w:p w14:paraId="51B6693D">
            <w:pPr>
              <w:spacing w:after="0" w:line="240" w:lineRule="auto"/>
            </w:pPr>
            <w:r>
              <w:t>Мне понадобится его удалить?</w:t>
            </w:r>
          </w:p>
        </w:tc>
      </w:tr>
      <w:tr w14:paraId="456DB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36942EE9">
            <w:pPr>
              <w:spacing w:after="0" w:line="240" w:lineRule="auto"/>
            </w:pPr>
            <w:r>
              <w:t>10. If Untreated</w:t>
            </w:r>
          </w:p>
        </w:tc>
        <w:tc>
          <w:tcPr>
            <w:tcW w:w="1234" w:type="dxa"/>
          </w:tcPr>
          <w:p w14:paraId="150D77E4">
            <w:pPr>
              <w:spacing w:after="0" w:line="240" w:lineRule="auto"/>
            </w:pPr>
            <w:r>
              <w:t>If left untreated, the inflammation and pain are very likely to recur.</w:t>
            </w:r>
          </w:p>
        </w:tc>
        <w:tc>
          <w:tcPr>
            <w:tcW w:w="1234" w:type="dxa"/>
          </w:tcPr>
          <w:p w14:paraId="75B34EF9">
            <w:pPr>
              <w:spacing w:after="0" w:line="240" w:lineRule="auto"/>
            </w:pPr>
            <w:r>
              <w:t>/ɪf left ʌnˈtriːtɪd/</w:t>
            </w:r>
          </w:p>
        </w:tc>
        <w:tc>
          <w:tcPr>
            <w:tcW w:w="1234" w:type="dxa"/>
          </w:tcPr>
          <w:p w14:paraId="22367F81">
            <w:pPr>
              <w:spacing w:after="0" w:line="240" w:lineRule="auto"/>
            </w:pPr>
            <w:r>
              <w:t>Agar davolanmasa, yallig‘lanish va og‘riq qaytalanishi ehtimoli juda yuqori.</w:t>
            </w:r>
          </w:p>
        </w:tc>
        <w:tc>
          <w:tcPr>
            <w:tcW w:w="1234" w:type="dxa"/>
          </w:tcPr>
          <w:p w14:paraId="35992053">
            <w:pPr>
              <w:spacing w:after="0" w:line="240" w:lineRule="auto"/>
            </w:pPr>
            <w:r>
              <w:t>What would happen if I decided to leave it alone for now?</w:t>
            </w:r>
          </w:p>
        </w:tc>
        <w:tc>
          <w:tcPr>
            <w:tcW w:w="1234" w:type="dxa"/>
          </w:tcPr>
          <w:p w14:paraId="70F75400">
            <w:pPr>
              <w:spacing w:after="0" w:line="240" w:lineRule="auto"/>
            </w:pPr>
            <w:r>
              <w:t>Agar hozircha tegmaslikka qaror qilsam, nima bo‘ladi?</w:t>
            </w:r>
          </w:p>
        </w:tc>
        <w:tc>
          <w:tcPr>
            <w:tcW w:w="1234" w:type="dxa"/>
          </w:tcPr>
          <w:p w14:paraId="4C395E6F">
            <w:pPr>
              <w:spacing w:after="0" w:line="240" w:lineRule="auto"/>
            </w:pPr>
            <w:r>
              <w:t>Что будет, если я пока решу ничего не делать?</w:t>
            </w:r>
          </w:p>
        </w:tc>
      </w:tr>
      <w:tr w14:paraId="4CA3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68BF19A5">
            <w:pPr>
              <w:spacing w:after="0" w:line="240" w:lineRule="auto"/>
            </w:pPr>
            <w:r>
              <w:t>11. Decision &amp; Reassurance</w:t>
            </w:r>
          </w:p>
        </w:tc>
        <w:tc>
          <w:tcPr>
            <w:tcW w:w="1234" w:type="dxa"/>
          </w:tcPr>
          <w:p w14:paraId="27E6C2E6">
            <w:pPr>
              <w:spacing w:after="0" w:line="240" w:lineRule="auto"/>
            </w:pPr>
            <w:r>
              <w:t>I’d rather take care of it now.</w:t>
            </w:r>
          </w:p>
        </w:tc>
        <w:tc>
          <w:tcPr>
            <w:tcW w:w="1234" w:type="dxa"/>
          </w:tcPr>
          <w:p w14:paraId="6D4F4EF9">
            <w:pPr>
              <w:spacing w:after="0" w:line="240" w:lineRule="auto"/>
            </w:pPr>
            <w:r>
              <w:t>/aɪd ˈrɑːðə teɪk keər əv ɪt naʊ/</w:t>
            </w:r>
          </w:p>
        </w:tc>
        <w:tc>
          <w:tcPr>
            <w:tcW w:w="1234" w:type="dxa"/>
          </w:tcPr>
          <w:p w14:paraId="3D5A5746">
            <w:pPr>
              <w:spacing w:after="0" w:line="240" w:lineRule="auto"/>
            </w:pPr>
            <w:r>
              <w:t>Men buni hoziroq hal qilganim ma’qul.</w:t>
            </w:r>
          </w:p>
        </w:tc>
        <w:tc>
          <w:tcPr>
            <w:tcW w:w="1234" w:type="dxa"/>
          </w:tcPr>
          <w:p w14:paraId="359903B6">
            <w:pPr>
              <w:spacing w:after="0" w:line="240" w:lineRule="auto"/>
            </w:pPr>
            <w:r>
              <w:t>I definitely don’t want it to get any worse.</w:t>
            </w:r>
          </w:p>
        </w:tc>
        <w:tc>
          <w:tcPr>
            <w:tcW w:w="1234" w:type="dxa"/>
          </w:tcPr>
          <w:p w14:paraId="78774A43">
            <w:pPr>
              <w:spacing w:after="0" w:line="240" w:lineRule="auto"/>
            </w:pPr>
            <w:r>
              <w:t>Men albatta uning yanada yomonlashishini xohlamayman.</w:t>
            </w:r>
          </w:p>
        </w:tc>
        <w:tc>
          <w:tcPr>
            <w:tcW w:w="1234" w:type="dxa"/>
          </w:tcPr>
          <w:p w14:paraId="6176F5A1">
            <w:pPr>
              <w:spacing w:after="0" w:line="240" w:lineRule="auto"/>
            </w:pPr>
            <w:r>
              <w:t>Я определённо не хочу, чтобы стало ещё хуже.</w:t>
            </w:r>
          </w:p>
        </w:tc>
      </w:tr>
      <w:tr w14:paraId="49310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5679BE7C">
            <w:pPr>
              <w:spacing w:after="0" w:line="240" w:lineRule="auto"/>
            </w:pPr>
            <w:r>
              <w:t>12. Closing</w:t>
            </w:r>
          </w:p>
        </w:tc>
        <w:tc>
          <w:tcPr>
            <w:tcW w:w="1234" w:type="dxa"/>
          </w:tcPr>
          <w:p w14:paraId="2BEBD85B">
            <w:pPr>
              <w:spacing w:after="0" w:line="240" w:lineRule="auto"/>
            </w:pPr>
            <w:r>
              <w:t>Once I review the image, I’ll explain the findings and discuss the safest options with you.</w:t>
            </w:r>
          </w:p>
        </w:tc>
        <w:tc>
          <w:tcPr>
            <w:tcW w:w="1234" w:type="dxa"/>
          </w:tcPr>
          <w:p w14:paraId="4CBC82CA">
            <w:pPr>
              <w:spacing w:after="0" w:line="240" w:lineRule="auto"/>
            </w:pPr>
            <w:r>
              <w:t>/wʌns aɪ rɪˈvjuː ði ˈɪmɪdʒ/</w:t>
            </w:r>
          </w:p>
        </w:tc>
        <w:tc>
          <w:tcPr>
            <w:tcW w:w="1234" w:type="dxa"/>
          </w:tcPr>
          <w:p w14:paraId="794ADEEE">
            <w:pPr>
              <w:spacing w:after="0" w:line="240" w:lineRule="auto"/>
            </w:pPr>
            <w:r>
              <w:t>Tasvirni ko‘rib chiqqanimdan so‘ng, natijalarni tushuntiraman va eng xavfsiz variantlarni siz bilan muhokama qilaman.</w:t>
            </w:r>
          </w:p>
        </w:tc>
        <w:tc>
          <w:tcPr>
            <w:tcW w:w="1234" w:type="dxa"/>
          </w:tcPr>
          <w:p w14:paraId="67CC9948">
            <w:pPr>
              <w:spacing w:after="0" w:line="240" w:lineRule="auto"/>
            </w:pPr>
            <w:r>
              <w:t>All right, Doctor. I’m ready.</w:t>
            </w:r>
          </w:p>
        </w:tc>
        <w:tc>
          <w:tcPr>
            <w:tcW w:w="1234" w:type="dxa"/>
          </w:tcPr>
          <w:p w14:paraId="3769B195">
            <w:pPr>
              <w:spacing w:after="0" w:line="240" w:lineRule="auto"/>
            </w:pPr>
            <w:r>
              <w:t>Yaxshi, doktor. Men tayyorman.</w:t>
            </w:r>
          </w:p>
        </w:tc>
        <w:tc>
          <w:tcPr>
            <w:tcW w:w="1234" w:type="dxa"/>
          </w:tcPr>
          <w:p w14:paraId="3574A4C7">
            <w:pPr>
              <w:spacing w:after="0" w:line="240" w:lineRule="auto"/>
            </w:pPr>
            <w:r>
              <w:t>Хорошо, доктор. Я готов.</w:t>
            </w:r>
          </w:p>
        </w:tc>
      </w:tr>
    </w:tbl>
    <w:p w14:paraId="310EA552">
      <w:pPr>
        <w:pStyle w:val="2"/>
      </w:pPr>
      <w:r>
        <w:t>3. Smart Phrasebookdan foydalanish tartibi</w:t>
      </w:r>
    </w:p>
    <w:p w14:paraId="2666F154">
      <w:r>
        <w:t>Opening — bemorning asosiy shikoyati va og‘riq joyini aniqlash.</w:t>
      </w:r>
    </w:p>
    <w:p w14:paraId="595065A5">
      <w:r>
        <w:t>Pain &amp; Symptoms — chaynashdagi qiyinchilik va jag‘dagi qotish kabi belgilarni aniqlash.</w:t>
      </w:r>
    </w:p>
    <w:p w14:paraId="27E7CD45">
      <w:r>
        <w:t>Examination — og‘iz bo‘shlig‘ini tekshirish va tishning chiqish holatini baholash.</w:t>
      </w:r>
    </w:p>
    <w:p w14:paraId="2426EAB7">
      <w:r>
        <w:t>Diagnosis — impacted wisdom tooth tushunchasini bemorga tushuntirish.</w:t>
      </w:r>
    </w:p>
    <w:p w14:paraId="1DF0F1A4">
      <w:r>
        <w:t>Risk Explanation — qo‘shni tishga bosim, emal shikastlanishi va kariyes xavfini tushuntirish.</w:t>
      </w:r>
    </w:p>
    <w:p w14:paraId="724D0797">
      <w:r>
        <w:t>Inflammation — gum flap ostida oziq-ovqat va bakteriyalar to‘planishi hamda pericoronitis haqida tushuntirish.</w:t>
      </w:r>
    </w:p>
    <w:p w14:paraId="45BBD925">
      <w:r>
        <w:t>X-ray &amp; Treatment Plan — panoramic X-ray yordamida tishning holatini baholash.</w:t>
      </w:r>
    </w:p>
    <w:p w14:paraId="4175437D">
      <w:r>
        <w:t>Treatment Decision — ekstraksiya zarurati va uzoq muddatli yechimni tushuntirish.</w:t>
      </w:r>
    </w:p>
    <w:p w14:paraId="6044E994">
      <w:r>
        <w:t>If Untreated — davolanmasa, og‘riq va yallig‘lanish qaytalanishi mumkinligini tushuntirish.</w:t>
      </w:r>
    </w:p>
    <w:p w14:paraId="1A9FE401">
      <w:r>
        <w:t>Decision &amp; Closing — bemorning qarorini qo‘llab-quvvatlash va keyingi variantlarni muhokama qilish.</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7340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3D3D3D" w:themeColor="text1"/>
      <w14:textFill>
        <w14:solidFill>
          <w14:schemeClr w14:val="tx1"/>
        </w14:solidFill>
      </w14:textFill>
    </w:rPr>
  </w:style>
  <w:style w:type="character" w:customStyle="1" w:styleId="51">
    <w:name w:val="Quote Char"/>
    <w:basedOn w:val="11"/>
    <w:link w:val="50"/>
    <w:uiPriority w:val="29"/>
    <w:rPr>
      <w:i/>
      <w:iCs/>
      <w:color w:val="3D3D3D"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9E9E9E"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2E2E2E" w:themeColor="text1" w:themeShade="BF"/>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la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FCFCF" w:themeFill="text1" w:themeFillTint="3F"/>
      </w:tcPr>
    </w:tblStylePr>
    <w:tblStylePr w:type="band1Horz">
      <w:tcPr>
        <w:tcBorders>
          <w:left w:val="nil"/>
          <w:right w:val="nil"/>
          <w:insideH w:val="nil"/>
          <w:insideV w:val="nil"/>
        </w:tcBorders>
        <w:shd w:val="clear" w:color="auto" w:fill="CFCFC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3D3D3D" w:themeFill="text1"/>
      </w:tcPr>
    </w:tblStylePr>
    <w:tblStylePr w:type="lastRow">
      <w:pPr>
        <w:spacing w:before="0" w:after="0" w:line="240" w:lineRule="auto"/>
      </w:pPr>
      <w:rPr>
        <w:b/>
        <w:bCs/>
      </w:rPr>
      <w:tcPr>
        <w:tcBorders>
          <w:top w:val="double" w:color="3D3D3D" w:themeColor="text1" w:sz="6" w:space="0"/>
          <w:left w:val="single" w:color="3D3D3D" w:themeColor="text1" w:sz="8" w:space="0"/>
          <w:bottom w:val="single" w:color="3D3D3D" w:themeColor="text1" w:sz="8" w:space="0"/>
          <w:right w:val="single" w:color="3D3D3D" w:themeColor="text1" w:sz="8" w:space="0"/>
        </w:tcBorders>
      </w:tcPr>
    </w:tblStylePr>
    <w:tblStylePr w:type="firstCol">
      <w:rPr>
        <w:b/>
        <w:bCs/>
      </w:rPr>
    </w:tblStylePr>
    <w:tblStylePr w:type="lastCol">
      <w:rPr>
        <w:b/>
        <w:bCs/>
      </w:r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18" w:space="0"/>
          <w:right w:val="single" w:color="3D3D3D"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3D3D3D" w:themeColor="text1" w:sz="6" w:space="0"/>
          <w:left w:val="single" w:color="3D3D3D" w:themeColor="text1" w:sz="8" w:space="0"/>
          <w:bottom w:val="single" w:color="3D3D3D" w:themeColor="text1" w:sz="8" w:space="0"/>
          <w:right w:val="single" w:color="3D3D3D"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shd w:val="clear" w:color="auto" w:fill="CFCFCF" w:themeFill="text1" w:themeFillTint="3F"/>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shd w:val="clear" w:color="auto" w:fill="CFCFCF" w:themeFill="text1" w:themeFillTint="3F"/>
      </w:tcPr>
    </w:tblStylePr>
    <w:tblStylePr w:type="band2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nil"/>
          <w:insideV w:val="nil"/>
        </w:tcBorders>
        <w:shd w:val="clear" w:color="auto" w:fill="3D3D3D" w:themeFill="text1"/>
      </w:tcPr>
    </w:tblStylePr>
    <w:tblStylePr w:type="lastRow">
      <w:pPr>
        <w:spacing w:before="0" w:after="0" w:line="240" w:lineRule="auto"/>
      </w:pPr>
      <w:rPr>
        <w:b/>
        <w:bCs/>
      </w:rPr>
      <w:tcPr>
        <w:tcBorders>
          <w:top w:val="double" w:color="6D6D6D" w:themeColor="text1" w:themeTint="BF" w:sz="6" w:space="0"/>
          <w:left w:val="single" w:color="6D6D6D" w:themeColor="text1" w:themeTint="BF" w:sz="8" w:space="0"/>
          <w:bottom w:val="single" w:color="6D6D6D" w:themeColor="text1" w:themeTint="BF" w:sz="8" w:space="0"/>
          <w:right w:val="single" w:color="6D6D6D"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CFCFCF" w:themeFill="text1" w:themeFillTint="3F"/>
      </w:tcPr>
    </w:tblStylePr>
    <w:tblStylePr w:type="band1Horz">
      <w:tcPr>
        <w:tcBorders>
          <w:insideH w:val="nil"/>
          <w:insideV w:val="nil"/>
        </w:tcBorders>
        <w:shd w:val="clear" w:color="auto" w:fill="CFCFC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3D3D3D"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3D3D3D" w:themeFill="tex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3D3D3D" w:themeFill="tex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3D3D3D" w:themeColor="text1"/>
      <w14:textFill>
        <w14:solidFill>
          <w14:schemeClr w14:val="tx1"/>
        </w14:solidFill>
      </w14:textFill>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3D3D3D" w:themeColor="text1" w:sz="8" w:space="0"/>
        </w:tcBorders>
      </w:tcPr>
    </w:tblStylePr>
    <w:tblStylePr w:type="lastRow">
      <w:rPr>
        <w:b/>
        <w:bCs/>
        <w:color w:val="1F497D" w:themeColor="text2"/>
        <w14:textFill>
          <w14:solidFill>
            <w14:schemeClr w14:val="tx2"/>
          </w14:solidFill>
        </w14:textFill>
      </w:rPr>
      <w:tcPr>
        <w:tcBorders>
          <w:top w:val="single" w:color="3D3D3D" w:themeColor="text1" w:sz="8" w:space="0"/>
          <w:bottom w:val="single" w:color="3D3D3D" w:themeColor="text1" w:sz="8" w:space="0"/>
        </w:tcBorders>
      </w:tcPr>
    </w:tblStylePr>
    <w:tblStylePr w:type="firstCol">
      <w:rPr>
        <w:b/>
        <w:bCs/>
      </w:rPr>
    </w:tblStylePr>
    <w:tblStylePr w:type="lastCol">
      <w:rPr>
        <w:b/>
        <w:bCs/>
      </w:rPr>
      <w:tcPr>
        <w:tcBorders>
          <w:top w:val="single" w:color="3D3D3D" w:themeColor="text1" w:sz="8" w:space="0"/>
          <w:bottom w:val="single" w:color="3D3D3D" w:themeColor="text1" w:sz="8" w:space="0"/>
        </w:tcBorders>
      </w:tcPr>
    </w:tblStylePr>
    <w:tblStylePr w:type="band1Vert">
      <w:tcPr>
        <w:shd w:val="clear" w:color="auto" w:fill="CFCFCF" w:themeFill="text1" w:themeFillTint="3F"/>
      </w:tcPr>
    </w:tblStylePr>
    <w:tblStylePr w:type="band1Horz">
      <w:tcPr>
        <w:shd w:val="clear" w:color="auto" w:fill="CFCFCF" w:themeFill="text1" w:themeFillTint="3F"/>
      </w:tcPr>
    </w:tblStylePr>
  </w:style>
  <w:style w:type="table" w:styleId="102">
    <w:name w:val="Medium List 1 Accent 1"/>
    <w:basedOn w:val="12"/>
    <w:uiPriority w:val="65"/>
    <w:pPr>
      <w:spacing w:after="0" w:line="240" w:lineRule="auto"/>
    </w:pPr>
    <w:rPr>
      <w:color w:val="3D3D3D"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3D3D3D"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3D3D3D"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3D3D3D"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3D3D3D"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3D3D3D"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3D3D3D" w:themeColor="text1" w:sz="24" w:space="0"/>
          <w:right w:val="nil"/>
          <w:insideH w:val="nil"/>
          <w:insideV w:val="nil"/>
        </w:tcBorders>
        <w:shd w:val="clear" w:color="auto" w:fill="FFFAEF" w:themeFill="background1"/>
      </w:tcPr>
    </w:tblStylePr>
    <w:tblStylePr w:type="lastRow">
      <w:tcPr>
        <w:tcBorders>
          <w:top w:val="single" w:color="3D3D3D" w:themeColor="tex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3D3D3D" w:themeColor="text1" w:sz="8" w:space="0"/>
          <w:insideH w:val="nil"/>
          <w:insideV w:val="nil"/>
        </w:tcBorders>
        <w:shd w:val="clear" w:color="auto" w:fill="FFFAEF" w:themeFill="background1"/>
      </w:tcPr>
    </w:tblStylePr>
    <w:tblStylePr w:type="lastCol">
      <w:tcPr>
        <w:tcBorders>
          <w:top w:val="nil"/>
          <w:left w:val="single" w:color="3D3D3D" w:themeColor="tex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CFCFCF" w:themeFill="text1" w:themeFillTint="3F"/>
      </w:tcPr>
    </w:tblStylePr>
    <w:tblStylePr w:type="band1Horz">
      <w:tcPr>
        <w:tcBorders>
          <w:top w:val="nil"/>
          <w:bottom w:val="nil"/>
          <w:insideH w:val="nil"/>
          <w:insideV w:val="nil"/>
        </w:tcBorders>
        <w:shd w:val="clear" w:color="auto" w:fill="CFCFCF" w:themeFill="text1" w:themeFillTint="3F"/>
      </w:tcPr>
    </w:tblStylePr>
    <w:tblStylePr w:type="nwCell">
      <w:tcPr>
        <w:shd w:val="clear" w:color="auto" w:fill="FFFAE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AEF" w:themeFill="background1"/>
      </w:tcPr>
    </w:tblStylePr>
    <w:tblStylePr w:type="lastRow">
      <w:tcPr>
        <w:tcBorders>
          <w:top w:val="single" w:color="4F81BD" w:themeColor="accen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F81BD" w:themeColor="accent1" w:sz="8" w:space="0"/>
          <w:insideH w:val="nil"/>
          <w:insideV w:val="nil"/>
        </w:tcBorders>
        <w:shd w:val="clear" w:color="auto" w:fill="FFFAEF" w:themeFill="background1"/>
      </w:tcPr>
    </w:tblStylePr>
    <w:tblStylePr w:type="lastCol">
      <w:tcPr>
        <w:tcBorders>
          <w:top w:val="nil"/>
          <w:left w:val="single" w:color="4F81BD" w:themeColor="accen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AE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AEF" w:themeFill="background1"/>
      </w:tcPr>
    </w:tblStylePr>
    <w:tblStylePr w:type="lastRow">
      <w:tcPr>
        <w:tcBorders>
          <w:top w:val="single" w:color="C0504D" w:themeColor="accent2"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C0504D" w:themeColor="accent2" w:sz="8" w:space="0"/>
          <w:insideH w:val="nil"/>
          <w:insideV w:val="nil"/>
        </w:tcBorders>
        <w:shd w:val="clear" w:color="auto" w:fill="FFFAEF" w:themeFill="background1"/>
      </w:tcPr>
    </w:tblStylePr>
    <w:tblStylePr w:type="lastCol">
      <w:tcPr>
        <w:tcBorders>
          <w:top w:val="nil"/>
          <w:left w:val="single" w:color="C0504D" w:themeColor="accent2"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AE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AEF" w:themeFill="background1"/>
      </w:tcPr>
    </w:tblStylePr>
    <w:tblStylePr w:type="lastRow">
      <w:tcPr>
        <w:tcBorders>
          <w:top w:val="single" w:color="9BBB59" w:themeColor="accent3"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9BBB59" w:themeColor="accent3" w:sz="8" w:space="0"/>
          <w:insideH w:val="nil"/>
          <w:insideV w:val="nil"/>
        </w:tcBorders>
        <w:shd w:val="clear" w:color="auto" w:fill="FFFAEF" w:themeFill="background1"/>
      </w:tcPr>
    </w:tblStylePr>
    <w:tblStylePr w:type="lastCol">
      <w:tcPr>
        <w:tcBorders>
          <w:top w:val="nil"/>
          <w:left w:val="single" w:color="9BBB59" w:themeColor="accent3"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AE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AEF" w:themeFill="background1"/>
      </w:tcPr>
    </w:tblStylePr>
    <w:tblStylePr w:type="lastRow">
      <w:tcPr>
        <w:tcBorders>
          <w:top w:val="single" w:color="8064A2" w:themeColor="accent4"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8064A2" w:themeColor="accent4" w:sz="8" w:space="0"/>
          <w:insideH w:val="nil"/>
          <w:insideV w:val="nil"/>
        </w:tcBorders>
        <w:shd w:val="clear" w:color="auto" w:fill="FFFAEF" w:themeFill="background1"/>
      </w:tcPr>
    </w:tblStylePr>
    <w:tblStylePr w:type="lastCol">
      <w:tcPr>
        <w:tcBorders>
          <w:top w:val="nil"/>
          <w:left w:val="single" w:color="8064A2" w:themeColor="accent4"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AE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AEF" w:themeFill="background1"/>
      </w:tcPr>
    </w:tblStylePr>
    <w:tblStylePr w:type="lastRow">
      <w:tcPr>
        <w:tcBorders>
          <w:top w:val="single" w:color="4BACC6" w:themeColor="accent5"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BACC6" w:themeColor="accent5" w:sz="8" w:space="0"/>
          <w:insideH w:val="nil"/>
          <w:insideV w:val="nil"/>
        </w:tcBorders>
        <w:shd w:val="clear" w:color="auto" w:fill="FFFAEF" w:themeFill="background1"/>
      </w:tcPr>
    </w:tblStylePr>
    <w:tblStylePr w:type="lastCol">
      <w:tcPr>
        <w:tcBorders>
          <w:top w:val="nil"/>
          <w:left w:val="single" w:color="4BACC6" w:themeColor="accent5"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AE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AEF" w:themeFill="background1"/>
      </w:tcPr>
    </w:tblStylePr>
    <w:tblStylePr w:type="lastRow">
      <w:tcPr>
        <w:tcBorders>
          <w:top w:val="single" w:color="F79646" w:themeColor="accent6"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F79646" w:themeColor="accent6" w:sz="8" w:space="0"/>
          <w:insideH w:val="nil"/>
          <w:insideV w:val="nil"/>
        </w:tcBorders>
        <w:shd w:val="clear" w:color="auto" w:fill="FFFAEF" w:themeFill="background1"/>
      </w:tcPr>
    </w:tblStylePr>
    <w:tblStylePr w:type="lastCol">
      <w:tcPr>
        <w:tcBorders>
          <w:top w:val="nil"/>
          <w:left w:val="single" w:color="F79646" w:themeColor="accent6"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AE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insideV w:val="single" w:color="6D6D6D" w:themeColor="text1" w:themeTint="BF" w:sz="8" w:space="0"/>
      </w:tblBorders>
      <w:tblCellMar>
        <w:top w:w="0" w:type="dxa"/>
        <w:left w:w="108" w:type="dxa"/>
        <w:bottom w:w="0" w:type="dxa"/>
        <w:right w:w="108" w:type="dxa"/>
      </w:tblCellMar>
    </w:tblPr>
    <w:tcPr>
      <w:shd w:val="clear" w:color="auto" w:fill="CFCFCF" w:themeFill="text1" w:themeFillTint="3F"/>
    </w:tcPr>
    <w:tblStylePr w:type="firstRow">
      <w:rPr>
        <w:b/>
        <w:bCs/>
      </w:rPr>
    </w:tblStylePr>
    <w:tblStylePr w:type="lastRow">
      <w:rPr>
        <w:b/>
        <w:bCs/>
      </w:rPr>
      <w:tcPr>
        <w:tcBorders>
          <w:top w:val="single" w:color="6D6D6D" w:themeColor="text1" w:themeTint="BF" w:sz="18" w:space="0"/>
        </w:tcBorders>
      </w:tcPr>
    </w:tblStylePr>
    <w:tblStylePr w:type="firstCol">
      <w:rPr>
        <w:b/>
        <w:bCs/>
      </w:rPr>
    </w:tblStylePr>
    <w:tblStylePr w:type="lastCol">
      <w:rPr>
        <w:b/>
        <w:bCs/>
      </w:r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cPr>
      <w:shd w:val="clear" w:color="auto" w:fill="CFCFCF" w:themeFill="text1" w:themeFillTint="3F"/>
    </w:tcPr>
    <w:tblStylePr w:type="firstRow">
      <w:rPr>
        <w:b/>
        <w:bCs/>
        <w:color w:val="3D3D3D" w:themeColor="text1"/>
        <w14:textFill>
          <w14:solidFill>
            <w14:schemeClr w14:val="tx1"/>
          </w14:solidFill>
        </w14:textFill>
      </w:rPr>
      <w:tcPr>
        <w:shd w:val="clear" w:color="auto" w:fill="EBEBEB" w:themeFill="tex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8D8D8" w:themeFill="text1" w:themeFillTint="33"/>
      </w:tcPr>
    </w:tblStylePr>
    <w:tblStylePr w:type="band1Vert">
      <w:tcPr>
        <w:shd w:val="clear" w:color="auto" w:fill="9E9E9E" w:themeFill="text1" w:themeFillTint="7F"/>
      </w:tcPr>
    </w:tblStylePr>
    <w:tblStylePr w:type="band1Horz">
      <w:tcPr>
        <w:tcBorders>
          <w:insideH w:val="single" w:sz="6" w:space="0"/>
          <w:insideV w:val="single" w:sz="6" w:space="0"/>
        </w:tcBorders>
        <w:shd w:val="clear" w:color="auto" w:fill="9E9E9E" w:themeFill="text1" w:themeFillTint="7F"/>
      </w:tcPr>
    </w:tblStylePr>
    <w:tblStylePr w:type="nwCell">
      <w:tcPr>
        <w:shd w:val="clear" w:color="auto" w:fill="FFFAE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3D3D3D" w:themeColor="text1"/>
        <w14:textFill>
          <w14:solidFill>
            <w14:schemeClr w14:val="tx1"/>
          </w14:solidFill>
        </w14:textFill>
      </w:rPr>
      <w:tcPr>
        <w:shd w:val="clear" w:color="auto" w:fill="EDF2F8" w:themeFill="accen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AE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3D3D3D" w:themeColor="text1"/>
        <w14:textFill>
          <w14:solidFill>
            <w14:schemeClr w14:val="tx1"/>
          </w14:solidFill>
        </w14:textFill>
      </w:rPr>
      <w:tcPr>
        <w:shd w:val="clear" w:color="auto" w:fill="F8EDED" w:themeFill="accent2"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AE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3D3D3D" w:themeColor="text1"/>
        <w14:textFill>
          <w14:solidFill>
            <w14:schemeClr w14:val="tx1"/>
          </w14:solidFill>
        </w14:textFill>
      </w:rPr>
      <w:tcPr>
        <w:shd w:val="clear" w:color="auto" w:fill="F5F8EE" w:themeFill="accent3"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AE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3D3D3D" w:themeColor="text1"/>
        <w14:textFill>
          <w14:solidFill>
            <w14:schemeClr w14:val="tx1"/>
          </w14:solidFill>
        </w14:textFill>
      </w:rPr>
      <w:tcPr>
        <w:shd w:val="clear" w:color="auto" w:fill="F2EFF5" w:themeFill="accent4"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AE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3D3D3D" w:themeColor="text1"/>
        <w14:textFill>
          <w14:solidFill>
            <w14:schemeClr w14:val="tx1"/>
          </w14:solidFill>
        </w14:textFill>
      </w:rPr>
      <w:tcPr>
        <w:shd w:val="clear" w:color="auto" w:fill="EDF6F9" w:themeFill="accent5"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AE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3D3D3D" w:themeColor="text1"/>
        <w14:textFill>
          <w14:solidFill>
            <w14:schemeClr w14:val="tx1"/>
          </w14:solidFill>
        </w14:textFill>
      </w:rPr>
      <w:tcPr>
        <w:shd w:val="clear" w:color="auto" w:fill="FEF4EC" w:themeFill="accent6"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AEF" w:themeFill="background1"/>
      </w:tcPr>
    </w:tblStylePr>
  </w:style>
  <w:style w:type="table" w:styleId="129">
    <w:name w:val="Medium Grid 3"/>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CFCFCF" w:themeFill="tex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3D3D3D" w:themeFill="tex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3D3D3D" w:themeFill="tex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3D3D3D" w:themeFill="tex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3D3D3D" w:themeFill="tex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9E9E9E" w:themeFill="tex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9E9E9E" w:themeFill="text1" w:themeFillTint="7F"/>
      </w:tcPr>
    </w:tblStylePr>
  </w:style>
  <w:style w:type="table" w:styleId="130">
    <w:name w:val="Medium Grid 3 Accent 1"/>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F81BD" w:themeFill="accen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F81BD" w:themeFill="accen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F81BD" w:themeFill="accen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F81BD" w:themeFill="accen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7C0DE" w:themeFill="accen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C0504D" w:themeFill="accent2"/>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C0504D" w:themeFill="accent2"/>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C0504D" w:themeFill="accent2"/>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C0504D" w:themeFill="accent2"/>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DFA7A6" w:themeFill="accent2"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9BBB59" w:themeFill="accent3"/>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9BBB59" w:themeFill="accent3"/>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9BBB59" w:themeFill="accent3"/>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9BBB59" w:themeFill="accent3"/>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CDDDAC" w:themeFill="accent3"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8064A2" w:themeFill="accent4"/>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8064A2" w:themeFill="accent4"/>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8064A2" w:themeFill="accent4"/>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8064A2" w:themeFill="accent4"/>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BFB1D0" w:themeFill="accent4"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BACC6" w:themeFill="accent5"/>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BACC6" w:themeFill="accent5"/>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BACC6" w:themeFill="accent5"/>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BACC6" w:themeFill="accent5"/>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5D5E2" w:themeFill="accent5"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F79646" w:themeFill="accent6"/>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F79646" w:themeFill="accent6"/>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F79646" w:themeFill="accent6"/>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F79646" w:themeFill="accent6"/>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FBCAA2" w:themeFill="accent6"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3D3D3D" w:themeFill="tex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1E1E1E" w:themeFill="text1" w:themeFillShade="7F"/>
      </w:tcPr>
    </w:tblStylePr>
    <w:tblStylePr w:type="firstCol">
      <w:tcPr>
        <w:tcBorders>
          <w:top w:val="nil"/>
          <w:left w:val="nil"/>
          <w:bottom w:val="nil"/>
          <w:right w:val="single" w:color="FFFAEF" w:themeColor="background1" w:sz="18" w:space="0"/>
          <w:insideH w:val="nil"/>
          <w:insideV w:val="nil"/>
        </w:tcBorders>
        <w:shd w:val="clear" w:color="auto" w:fill="2D2D2D" w:themeFill="text1" w:themeFillShade="BF"/>
      </w:tcPr>
    </w:tblStylePr>
    <w:tblStylePr w:type="lastCol">
      <w:tcPr>
        <w:tcBorders>
          <w:top w:val="nil"/>
          <w:left w:val="single" w:color="FFFAEF" w:themeColor="background1" w:sz="18" w:space="0"/>
          <w:bottom w:val="nil"/>
          <w:right w:val="nil"/>
          <w:insideH w:val="nil"/>
          <w:insideV w:val="nil"/>
        </w:tcBorders>
        <w:shd w:val="clear" w:color="auto" w:fill="2D2D2D" w:themeFill="text1" w:themeFillShade="BF"/>
      </w:tcPr>
    </w:tblStylePr>
    <w:tblStylePr w:type="band1Vert">
      <w:tcPr>
        <w:tcBorders>
          <w:top w:val="nil"/>
          <w:left w:val="nil"/>
          <w:bottom w:val="nil"/>
          <w:right w:val="nil"/>
          <w:insideH w:val="nil"/>
          <w:insideV w:val="nil"/>
        </w:tcBorders>
        <w:shd w:val="clear" w:color="auto" w:fill="2D2D2D" w:themeFill="text1" w:themeFillShade="BF"/>
      </w:tcPr>
    </w:tblStylePr>
    <w:tblStylePr w:type="band1Horz">
      <w:tcPr>
        <w:tcBorders>
          <w:top w:val="nil"/>
          <w:left w:val="nil"/>
          <w:bottom w:val="nil"/>
          <w:right w:val="nil"/>
          <w:insideH w:val="nil"/>
          <w:insideV w:val="nil"/>
        </w:tcBorders>
        <w:shd w:val="clear" w:color="auto" w:fill="2D2D2D" w:themeFill="text1" w:themeFillShade="BF"/>
      </w:tcPr>
    </w:tblStylePr>
  </w:style>
  <w:style w:type="table" w:styleId="137">
    <w:name w:val="Dark List Accent 1"/>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AEF" w:themeColor="background1" w:sz="18" w:space="0"/>
          <w:insideH w:val="nil"/>
          <w:insideV w:val="nil"/>
        </w:tcBorders>
        <w:shd w:val="clear" w:color="auto" w:fill="366091" w:themeFill="accent1" w:themeFillShade="BF"/>
      </w:tcPr>
    </w:tblStylePr>
    <w:tblStylePr w:type="lastCol">
      <w:tcPr>
        <w:tcBorders>
          <w:top w:val="nil"/>
          <w:left w:val="single" w:color="FFFAE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AEF" w:themeColor="background1" w:sz="18" w:space="0"/>
          <w:insideH w:val="nil"/>
          <w:insideV w:val="nil"/>
        </w:tcBorders>
        <w:shd w:val="clear" w:color="auto" w:fill="943734" w:themeFill="accent2" w:themeFillShade="BF"/>
      </w:tcPr>
    </w:tblStylePr>
    <w:tblStylePr w:type="lastCol">
      <w:tcPr>
        <w:tcBorders>
          <w:top w:val="nil"/>
          <w:left w:val="single" w:color="FFFAE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AEF" w:themeColor="background1" w:sz="18" w:space="0"/>
          <w:insideH w:val="nil"/>
          <w:insideV w:val="nil"/>
        </w:tcBorders>
        <w:shd w:val="clear" w:color="auto" w:fill="76923C" w:themeFill="accent3" w:themeFillShade="BF"/>
      </w:tcPr>
    </w:tblStylePr>
    <w:tblStylePr w:type="lastCol">
      <w:tcPr>
        <w:tcBorders>
          <w:top w:val="nil"/>
          <w:left w:val="single" w:color="FFFAE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AEF" w:themeColor="background1" w:sz="18" w:space="0"/>
          <w:insideH w:val="nil"/>
          <w:insideV w:val="nil"/>
        </w:tcBorders>
        <w:shd w:val="clear" w:color="auto" w:fill="5F497A" w:themeFill="accent4" w:themeFillShade="BF"/>
      </w:tcPr>
    </w:tblStylePr>
    <w:tblStylePr w:type="lastCol">
      <w:tcPr>
        <w:tcBorders>
          <w:top w:val="nil"/>
          <w:left w:val="single" w:color="FFFAE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qFormat/>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AEF" w:themeColor="background1" w:sz="18" w:space="0"/>
          <w:insideH w:val="nil"/>
          <w:insideV w:val="nil"/>
        </w:tcBorders>
        <w:shd w:val="clear" w:color="auto" w:fill="31849B" w:themeFill="accent5" w:themeFillShade="BF"/>
      </w:tcPr>
    </w:tblStylePr>
    <w:tblStylePr w:type="lastCol">
      <w:tcPr>
        <w:tcBorders>
          <w:top w:val="nil"/>
          <w:left w:val="single" w:color="FFFAE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AEF" w:themeColor="background1" w:sz="18" w:space="0"/>
          <w:insideH w:val="nil"/>
          <w:insideV w:val="nil"/>
        </w:tcBorders>
        <w:shd w:val="clear" w:color="auto" w:fill="E36C09" w:themeFill="accent6" w:themeFillShade="BF"/>
      </w:tcPr>
    </w:tblStylePr>
    <w:tblStylePr w:type="lastCol">
      <w:tcPr>
        <w:tcBorders>
          <w:top w:val="nil"/>
          <w:left w:val="single" w:color="FFFAE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3D3D3D" w:themeColor="text1" w:sz="4" w:space="0"/>
        <w:bottom w:val="single" w:color="3D3D3D" w:themeColor="text1" w:sz="4" w:space="0"/>
        <w:right w:val="single" w:color="3D3D3D" w:themeColor="tex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BEBEB"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42424" w:themeFill="tex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42424" w:themeFill="tex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D2D2D" w:themeFill="text1" w:themeFillShade="BF"/>
      </w:tcPr>
    </w:tblStylePr>
    <w:tblStylePr w:type="band1Vert">
      <w:tcPr>
        <w:shd w:val="clear" w:color="auto" w:fill="B1B1B1" w:themeFill="text1" w:themeFillTint="66"/>
      </w:tcPr>
    </w:tblStylePr>
    <w:tblStylePr w:type="band1Horz">
      <w:tcPr>
        <w:shd w:val="clear" w:color="auto" w:fill="9E9E9E" w:themeFill="tex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B4D74" w:themeFill="accen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772C2A" w:themeFill="accent2"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3D3D3D"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5E7530" w:themeFill="accent3"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3D3D3D"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4C3A62" w:themeFill="accent4"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3D3D3D"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76A7C" w:themeFill="accent5"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3D3D3D"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B65607" w:themeFill="accent6"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50">
    <w:name w:val="Colorful List"/>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BEBEB" w:themeFill="tex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FCFCF" w:themeFill="text1" w:themeFillTint="3F"/>
      </w:tcPr>
    </w:tblStylePr>
    <w:tblStylePr w:type="band1Horz">
      <w:tcPr>
        <w:shd w:val="clear" w:color="auto" w:fill="D8D8D8" w:themeFill="text1" w:themeFillTint="33"/>
      </w:tcPr>
    </w:tblStylePr>
  </w:style>
  <w:style w:type="table" w:styleId="151">
    <w:name w:val="Colorful List Accent 1"/>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664E82" w:themeFill="accent4" w:themeFillShade="CC"/>
      </w:tcPr>
    </w:tblStylePr>
    <w:tblStylePr w:type="lastRow">
      <w:rPr>
        <w:b/>
        <w:bCs/>
        <w:color w:val="664F83" w:themeColor="accent4"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7E9C40" w:themeFill="accent3" w:themeFillShade="CC"/>
      </w:tcPr>
    </w:tblStylePr>
    <w:tblStylePr w:type="lastRow">
      <w:rPr>
        <w:b/>
        <w:bCs/>
        <w:color w:val="7E9D40" w:themeColor="accent3"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F3730A" w:themeFill="accent6" w:themeFillShade="CC"/>
      </w:tcPr>
    </w:tblStylePr>
    <w:tblStylePr w:type="lastRow">
      <w:rPr>
        <w:b/>
        <w:bCs/>
        <w:color w:val="F3740B" w:themeColor="accent6"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348DA5" w:themeFill="accent5" w:themeFillShade="CC"/>
      </w:tcPr>
    </w:tblStylePr>
    <w:tblStylePr w:type="lastRow">
      <w:rPr>
        <w:b/>
        <w:bCs/>
        <w:color w:val="358EA6" w:themeColor="accent5"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8D8D8" w:themeFill="text1" w:themeFillTint="33"/>
    </w:tcPr>
    <w:tblStylePr w:type="firstRow">
      <w:rPr>
        <w:b/>
        <w:bCs/>
      </w:rPr>
      <w:tcPr>
        <w:shd w:val="clear" w:color="auto" w:fill="B1B1B1" w:themeFill="text1" w:themeFillTint="66"/>
      </w:tcPr>
    </w:tblStylePr>
    <w:tblStylePr w:type="lastRow">
      <w:rPr>
        <w:b/>
        <w:bCs/>
        <w:color w:val="3D3D3D" w:themeColor="text1"/>
        <w14:textFill>
          <w14:solidFill>
            <w14:schemeClr w14:val="tx1"/>
          </w14:solidFill>
        </w14:textFill>
      </w:rPr>
      <w:tcPr>
        <w:shd w:val="clear" w:color="auto" w:fill="B1B1B1" w:themeFill="text1" w:themeFillTint="66"/>
      </w:tcPr>
    </w:tblStylePr>
    <w:tblStylePr w:type="firstCol">
      <w:rPr>
        <w:color w:val="FFFAEF" w:themeColor="background1"/>
        <w14:textFill>
          <w14:solidFill>
            <w14:schemeClr w14:val="bg1"/>
          </w14:solidFill>
        </w14:textFill>
      </w:rPr>
      <w:tcPr>
        <w:shd w:val="clear" w:color="auto" w:fill="2D2D2D" w:themeFill="text1" w:themeFillShade="BF"/>
      </w:tcPr>
    </w:tblStylePr>
    <w:tblStylePr w:type="lastCol">
      <w:rPr>
        <w:color w:val="FFFAEF" w:themeColor="background1"/>
        <w14:textFill>
          <w14:solidFill>
            <w14:schemeClr w14:val="bg1"/>
          </w14:solidFill>
        </w14:textFill>
      </w:rPr>
      <w:tcPr>
        <w:shd w:val="clear" w:color="auto" w:fill="2D2D2D" w:themeFill="text1" w:themeFillShade="BF"/>
      </w:tc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58">
    <w:name w:val="Colorful Grid Accent 1"/>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3D3D3D" w:themeColor="text1"/>
        <w14:textFill>
          <w14:solidFill>
            <w14:schemeClr w14:val="tx1"/>
          </w14:solidFill>
        </w14:textFill>
      </w:rPr>
      <w:tcPr>
        <w:shd w:val="clear" w:color="auto" w:fill="B8CCE4" w:themeFill="accent1" w:themeFillTint="66"/>
      </w:tcPr>
    </w:tblStylePr>
    <w:tblStylePr w:type="firstCol">
      <w:rPr>
        <w:color w:val="FFFAEF" w:themeColor="background1"/>
        <w14:textFill>
          <w14:solidFill>
            <w14:schemeClr w14:val="bg1"/>
          </w14:solidFill>
        </w14:textFill>
      </w:rPr>
      <w:tcPr>
        <w:shd w:val="clear" w:color="auto" w:fill="366091" w:themeFill="accent1" w:themeFillShade="BF"/>
      </w:tcPr>
    </w:tblStylePr>
    <w:tblStylePr w:type="lastCol">
      <w:rPr>
        <w:color w:val="FFFAE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3D3D3D" w:themeColor="text1"/>
        <w14:textFill>
          <w14:solidFill>
            <w14:schemeClr w14:val="tx1"/>
          </w14:solidFill>
        </w14:textFill>
      </w:rPr>
      <w:tcPr>
        <w:shd w:val="clear" w:color="auto" w:fill="E5B8B7" w:themeFill="accent2" w:themeFillTint="66"/>
      </w:tcPr>
    </w:tblStylePr>
    <w:tblStylePr w:type="firstCol">
      <w:rPr>
        <w:color w:val="FFFAEF" w:themeColor="background1"/>
        <w14:textFill>
          <w14:solidFill>
            <w14:schemeClr w14:val="bg1"/>
          </w14:solidFill>
        </w14:textFill>
      </w:rPr>
      <w:tcPr>
        <w:shd w:val="clear" w:color="auto" w:fill="943734" w:themeFill="accent2" w:themeFillShade="BF"/>
      </w:tcPr>
    </w:tblStylePr>
    <w:tblStylePr w:type="lastCol">
      <w:rPr>
        <w:color w:val="FFFAE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3D3D3D" w:themeColor="text1"/>
        <w14:textFill>
          <w14:solidFill>
            <w14:schemeClr w14:val="tx1"/>
          </w14:solidFill>
        </w14:textFill>
      </w:rPr>
      <w:tcPr>
        <w:shd w:val="clear" w:color="auto" w:fill="D6E3BC" w:themeFill="accent3" w:themeFillTint="66"/>
      </w:tcPr>
    </w:tblStylePr>
    <w:tblStylePr w:type="firstCol">
      <w:rPr>
        <w:color w:val="FFFAEF" w:themeColor="background1"/>
        <w14:textFill>
          <w14:solidFill>
            <w14:schemeClr w14:val="bg1"/>
          </w14:solidFill>
        </w14:textFill>
      </w:rPr>
      <w:tcPr>
        <w:shd w:val="clear" w:color="auto" w:fill="76923C" w:themeFill="accent3" w:themeFillShade="BF"/>
      </w:tcPr>
    </w:tblStylePr>
    <w:tblStylePr w:type="lastCol">
      <w:rPr>
        <w:color w:val="FFFAE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3D3D3D" w:themeColor="text1"/>
        <w14:textFill>
          <w14:solidFill>
            <w14:schemeClr w14:val="tx1"/>
          </w14:solidFill>
        </w14:textFill>
      </w:rPr>
      <w:tcPr>
        <w:shd w:val="clear" w:color="auto" w:fill="CCC0D9" w:themeFill="accent4" w:themeFillTint="66"/>
      </w:tcPr>
    </w:tblStylePr>
    <w:tblStylePr w:type="firstCol">
      <w:rPr>
        <w:color w:val="FFFAEF" w:themeColor="background1"/>
        <w14:textFill>
          <w14:solidFill>
            <w14:schemeClr w14:val="bg1"/>
          </w14:solidFill>
        </w14:textFill>
      </w:rPr>
      <w:tcPr>
        <w:shd w:val="clear" w:color="auto" w:fill="5F497A" w:themeFill="accent4" w:themeFillShade="BF"/>
      </w:tcPr>
    </w:tblStylePr>
    <w:tblStylePr w:type="lastCol">
      <w:rPr>
        <w:color w:val="FFFAE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3D3D3D" w:themeColor="text1"/>
        <w14:textFill>
          <w14:solidFill>
            <w14:schemeClr w14:val="tx1"/>
          </w14:solidFill>
        </w14:textFill>
      </w:rPr>
      <w:tcPr>
        <w:shd w:val="clear" w:color="auto" w:fill="B6DDE8" w:themeFill="accent5" w:themeFillTint="66"/>
      </w:tcPr>
    </w:tblStylePr>
    <w:tblStylePr w:type="firstCol">
      <w:rPr>
        <w:color w:val="FFFAEF" w:themeColor="background1"/>
        <w14:textFill>
          <w14:solidFill>
            <w14:schemeClr w14:val="bg1"/>
          </w14:solidFill>
        </w14:textFill>
      </w:rPr>
      <w:tcPr>
        <w:shd w:val="clear" w:color="auto" w:fill="31849B" w:themeFill="accent5" w:themeFillShade="BF"/>
      </w:tcPr>
    </w:tblStylePr>
    <w:tblStylePr w:type="lastCol">
      <w:rPr>
        <w:color w:val="FFFAE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3D3D3D" w:themeColor="text1"/>
        <w14:textFill>
          <w14:solidFill>
            <w14:schemeClr w14:val="tx1"/>
          </w14:solidFill>
        </w14:textFill>
      </w:rPr>
      <w:tcPr>
        <w:shd w:val="clear" w:color="auto" w:fill="FBD4B4" w:themeFill="accent6" w:themeFillTint="66"/>
      </w:tcPr>
    </w:tblStylePr>
    <w:tblStylePr w:type="firstCol">
      <w:rPr>
        <w:color w:val="FFFAEF" w:themeColor="background1"/>
        <w14:textFill>
          <w14:solidFill>
            <w14:schemeClr w14:val="bg1"/>
          </w14:solidFill>
        </w14:textFill>
      </w:rPr>
      <w:tcPr>
        <w:shd w:val="clear" w:color="auto" w:fill="E36C09" w:themeFill="accent6" w:themeFillShade="BF"/>
      </w:tcPr>
    </w:tblStylePr>
    <w:tblStylePr w:type="lastCol">
      <w:rPr>
        <w:color w:val="FFFAE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1040</Words>
  <Characters>6305</Characters>
  <Lines>0</Lines>
  <Paragraphs>0</Paragraphs>
  <TotalTime>0</TotalTime>
  <ScaleCrop>false</ScaleCrop>
  <LinksUpToDate>false</LinksUpToDate>
  <CharactersWithSpaces>7109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2026-08-14T08:51:33Z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1049-12.1.0.28032</vt:lpwstr>
  </property>
  <property fmtid="{D5CDD505-2E9C-101B-9397-08002B2CF9AE}" pid="3" name="ICV">
    <vt:lpwstr>E336F4D7CFA44FDEA6C0FB7E558D693F_13</vt:lpwstr>
  </property>
</Properties>
</file>