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b/>
          <w:color w:val="003366"/>
          <w:sz w:val="52"/>
        </w:rPr>
        <w:t>Student Academic Performance Analysis &amp; Prediction</w:t>
      </w:r>
    </w:p>
    <w:p>
      <w:pPr>
        <w:spacing w:after="400"/>
        <w:jc w:val="center"/>
      </w:pPr>
      <w:r>
        <w:rPr>
          <w:i/>
          <w:color w:val="646464"/>
          <w:sz w:val="28"/>
        </w:rPr>
        <w:t>Data Analytics and Visualization (DAV) Lab Mini-Project Report</w:t>
      </w:r>
    </w:p>
    <w:tbl>
      <w:tblPr>
        <w:tblW w:type="auto" w:w="0"/>
        <w:jc w:val="center"/>
        <w:tblLayout w:type="fixed"/>
        <w:tblLook w:firstColumn="1" w:firstRow="1" w:lastColumn="0" w:lastRow="0" w:noHBand="0" w:noVBand="1" w:val="04A0"/>
      </w:tblPr>
      <w:tblGrid>
        <w:gridCol w:w="4680"/>
        <w:gridCol w:w="4680"/>
      </w:tblGrid>
      <w:tr>
        <w:tc>
          <w:tcPr>
            <w:tcW w:type="dxa" w:w="3600"/>
            <w:shd w:fill="003366"/>
          </w:tcPr>
          <w:p>
            <w:pPr>
              <w:jc w:val="center"/>
            </w:pPr>
            <w:r>
              <w:rPr>
                <w:b/>
                <w:color w:val="FFFFFF"/>
                <w:sz w:val="21"/>
              </w:rPr>
              <w:t>Parameter</w:t>
            </w:r>
          </w:p>
        </w:tc>
        <w:tc>
          <w:tcPr>
            <w:tcW w:type="dxa" w:w="5760"/>
            <w:shd w:fill="003366"/>
          </w:tcPr>
          <w:p>
            <w:pPr>
              <w:jc w:val="center"/>
            </w:pPr>
            <w:r>
              <w:rPr>
                <w:b/>
                <w:color w:val="FFFFFF"/>
                <w:sz w:val="21"/>
              </w:rPr>
              <w:t>Details</w:t>
            </w:r>
          </w:p>
        </w:tc>
      </w:tr>
      <w:tr>
        <w:tc>
          <w:tcPr>
            <w:tcW w:type="dxa" w:w="3600"/>
          </w:tcPr>
          <w:p>
            <w:pPr>
              <w:jc w:val="left"/>
            </w:pPr>
            <w:r>
              <w:rPr>
                <w:sz w:val="20"/>
              </w:rPr>
              <w:t>Project Title</w:t>
            </w:r>
          </w:p>
        </w:tc>
        <w:tc>
          <w:tcPr>
            <w:tcW w:type="dxa" w:w="5760"/>
          </w:tcPr>
          <w:p>
            <w:pPr>
              <w:jc w:val="center"/>
            </w:pPr>
            <w:r>
              <w:rPr>
                <w:sz w:val="20"/>
              </w:rPr>
              <w:t>Student Academic Performance Analysis and Prediction</w:t>
            </w:r>
          </w:p>
        </w:tc>
      </w:tr>
      <w:tr>
        <w:tc>
          <w:tcPr>
            <w:tcW w:type="dxa" w:w="3600"/>
            <w:shd w:fill="F2F5F8"/>
          </w:tcPr>
          <w:p>
            <w:pPr>
              <w:jc w:val="left"/>
            </w:pPr>
            <w:r>
              <w:rPr>
                <w:sz w:val="20"/>
              </w:rPr>
              <w:t>Course / Lab</w:t>
            </w:r>
          </w:p>
        </w:tc>
        <w:tc>
          <w:tcPr>
            <w:tcW w:type="dxa" w:w="5760"/>
            <w:shd w:fill="F2F5F8"/>
          </w:tcPr>
          <w:p>
            <w:pPr>
              <w:jc w:val="center"/>
            </w:pPr>
            <w:r>
              <w:rPr>
                <w:sz w:val="20"/>
              </w:rPr>
              <w:t>Data Analytics and Visualization (DAV) Laboratory</w:t>
            </w:r>
          </w:p>
        </w:tc>
      </w:tr>
      <w:tr>
        <w:tc>
          <w:tcPr>
            <w:tcW w:type="dxa" w:w="3600"/>
          </w:tcPr>
          <w:p>
            <w:pPr>
              <w:jc w:val="left"/>
            </w:pPr>
            <w:r>
              <w:rPr>
                <w:sz w:val="20"/>
              </w:rPr>
              <w:t>Date of Submission</w:t>
            </w:r>
          </w:p>
        </w:tc>
        <w:tc>
          <w:tcPr>
            <w:tcW w:type="dxa" w:w="5760"/>
          </w:tcPr>
          <w:p>
            <w:pPr>
              <w:jc w:val="center"/>
            </w:pPr>
            <w:r>
              <w:rPr>
                <w:sz w:val="20"/>
              </w:rPr>
              <w:t>October 2026</w:t>
            </w:r>
          </w:p>
        </w:tc>
      </w:tr>
      <w:tr>
        <w:tc>
          <w:tcPr>
            <w:tcW w:type="dxa" w:w="3600"/>
            <w:shd w:fill="F2F5F8"/>
          </w:tcPr>
          <w:p>
            <w:pPr>
              <w:jc w:val="left"/>
            </w:pPr>
            <w:r>
              <w:rPr>
                <w:sz w:val="20"/>
              </w:rPr>
              <w:t>Platform</w:t>
            </w:r>
          </w:p>
        </w:tc>
        <w:tc>
          <w:tcPr>
            <w:tcW w:type="dxa" w:w="5760"/>
            <w:shd w:fill="F2F5F8"/>
          </w:tcPr>
          <w:p>
            <w:pPr>
              <w:jc w:val="center"/>
            </w:pPr>
            <w:r>
              <w:rPr>
                <w:sz w:val="20"/>
              </w:rPr>
              <w:t>Windows 11 / Python 3.13 / Streamlit 1.65</w:t>
            </w:r>
          </w:p>
        </w:tc>
      </w:tr>
      <w:tr>
        <w:tc>
          <w:tcPr>
            <w:tcW w:type="dxa" w:w="3600"/>
          </w:tcPr>
          <w:p>
            <w:pPr>
              <w:jc w:val="left"/>
            </w:pPr>
            <w:r>
              <w:rPr>
                <w:sz w:val="20"/>
              </w:rPr>
              <w:t>Status</w:t>
            </w:r>
          </w:p>
        </w:tc>
        <w:tc>
          <w:tcPr>
            <w:tcW w:type="dxa" w:w="5760"/>
          </w:tcPr>
          <w:p>
            <w:pPr>
              <w:jc w:val="center"/>
            </w:pPr>
            <w:r>
              <w:rPr>
                <w:sz w:val="20"/>
              </w:rPr>
              <w:t>Complete, Tested &amp; Verified (All 5 Pages Functional)</w:t>
            </w:r>
          </w:p>
        </w:tc>
      </w:tr>
    </w:tbl>
    <w:p>
      <w:pPr>
        <w:spacing w:after="160"/>
      </w:pPr>
    </w:p>
    <w:p>
      <w:pPr>
        <w:spacing w:before="360" w:after="120"/>
      </w:pPr>
      <w:r>
        <w:rPr>
          <w:b/>
          <w:color w:val="003366"/>
          <w:sz w:val="32"/>
        </w:rPr>
        <w:t>1. Executive Summary</w:t>
      </w:r>
    </w:p>
    <w:p>
      <w:pPr>
        <w:spacing w:after="120" w:line="276" w:lineRule="auto"/>
      </w:pPr>
      <w:r>
        <w:t>This laboratory mini-project presents an end-to-end data analytics and supervised machine learning solution designed to predict student academic outcomes and discover the dominant behavioral drivers of course success. Using a reproducible dataset of 1,200 synthetic student records with 16 features, we demonstrate comprehensive data wrangling (median imputation of 157 missing cells, removal of 15 duplicate rows), rigorous exploratory data analysis (Plotly and Seaborn charts), supervised regression modeling comparing Linear Regression vs. Random Forest, and deployment of a five-page interactive Streamlit dashboard with authentication.</w:t>
      </w:r>
    </w:p>
    <w:p>
      <w:pPr>
        <w:spacing w:before="360" w:after="120"/>
      </w:pPr>
      <w:r>
        <w:rPr>
          <w:b/>
          <w:color w:val="003366"/>
          <w:sz w:val="32"/>
        </w:rPr>
        <w:t>2. Problem Statement &amp; Objectives</w:t>
      </w:r>
    </w:p>
    <w:p>
      <w:pPr>
        <w:pStyle w:val="ListBullet"/>
        <w:spacing w:after="80" w:line="276" w:lineRule="auto"/>
      </w:pPr>
      <w:r>
        <w:rPr>
          <w:b/>
        </w:rPr>
        <w:t>Predictive Goal:</w:t>
      </w:r>
      <w:r>
        <w:t xml:space="preserve"> To predict final exam scores (0-100 scale) based on student academic habits, prior semester GPA, and lifestyle metrics.</w:t>
      </w:r>
    </w:p>
    <w:p>
      <w:pPr>
        <w:pStyle w:val="ListBullet"/>
        <w:spacing w:after="80" w:line="276" w:lineRule="auto"/>
      </w:pPr>
      <w:r>
        <w:rPr>
          <w:b/>
        </w:rPr>
        <w:t>Diagnostic Goal:</w:t>
      </w:r>
      <w:r>
        <w:t xml:space="preserve"> To uncover key determinants of student performance and identify at-risk students before semester examinations.</w:t>
      </w:r>
    </w:p>
    <w:p>
      <w:pPr>
        <w:pStyle w:val="ListBullet"/>
        <w:spacing w:after="80" w:line="276" w:lineRule="auto"/>
      </w:pPr>
      <w:r>
        <w:rPr>
          <w:b/>
        </w:rPr>
        <w:t>Pedagogical Goal:</w:t>
      </w:r>
      <w:r>
        <w:t xml:space="preserve"> To demonstrate core DAV syllabus competencies: NumPy arrays, Pandas DataFrames, data cleaning, statistical plotting, Scikit-learn regression, and Streamlit deployment.</w:t>
      </w:r>
    </w:p>
    <w:p>
      <w:pPr>
        <w:spacing w:before="360" w:after="120"/>
      </w:pPr>
      <w:r>
        <w:rPr>
          <w:b/>
          <w:color w:val="003366"/>
          <w:sz w:val="32"/>
        </w:rPr>
        <w:t>3. Dataset Architecture &amp; Preprocessing Pipeline</w:t>
      </w:r>
    </w:p>
    <w:p>
      <w:pPr>
        <w:spacing w:after="120" w:line="276" w:lineRule="auto"/>
      </w:pPr>
      <w:r>
        <w:t>To ensure complete academic originality and reproducible experimental conditions without privacy restrictions, a synthetic dataset of 1,215 raw records was generated using NumPy with a fixed seed (42). Controlled data quality anomalies were deliberately introduced to simulate real-world data collection imperfections.</w:t>
      </w:r>
    </w:p>
    <w:p>
      <w:pPr>
        <w:spacing w:before="280" w:after="80"/>
      </w:pPr>
      <w:r>
        <w:rPr>
          <w:b/>
          <w:color w:val="1E508C"/>
          <w:sz w:val="26"/>
        </w:rPr>
        <w:t>Data Quality Anomalies &amp; Remediation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003366"/>
          </w:tcPr>
          <w:p>
            <w:pPr>
              <w:jc w:val="center"/>
            </w:pPr>
            <w:r>
              <w:rPr>
                <w:b/>
                <w:color w:val="FFFFFF"/>
                <w:sz w:val="21"/>
              </w:rPr>
              <w:t>Attribute / Feature</w:t>
            </w:r>
          </w:p>
        </w:tc>
        <w:tc>
          <w:tcPr>
            <w:tcW w:type="dxa" w:w="1728"/>
            <w:shd w:fill="003366"/>
          </w:tcPr>
          <w:p>
            <w:pPr>
              <w:jc w:val="center"/>
            </w:pPr>
            <w:r>
              <w:rPr>
                <w:b/>
                <w:color w:val="FFFFFF"/>
                <w:sz w:val="21"/>
              </w:rPr>
              <w:t>Missing Count</w:t>
            </w:r>
          </w:p>
        </w:tc>
        <w:tc>
          <w:tcPr>
            <w:tcW w:type="dxa" w:w="3312"/>
            <w:shd w:fill="003366"/>
          </w:tcPr>
          <w:p>
            <w:pPr>
              <w:jc w:val="center"/>
            </w:pPr>
            <w:r>
              <w:rPr>
                <w:b/>
                <w:color w:val="FFFFFF"/>
                <w:sz w:val="21"/>
              </w:rPr>
              <w:t>Imputation / Cleaning Strategy</w:t>
            </w:r>
          </w:p>
        </w:tc>
        <w:tc>
          <w:tcPr>
            <w:tcW w:type="dxa" w:w="1872"/>
            <w:shd w:fill="003366"/>
          </w:tcPr>
          <w:p>
            <w:pPr>
              <w:jc w:val="center"/>
            </w:pPr>
            <w:r>
              <w:rPr>
                <w:b/>
                <w:color w:val="FFFFFF"/>
                <w:sz w:val="21"/>
              </w:rPr>
              <w:t>Post-Cleaning Value</w:t>
            </w:r>
          </w:p>
        </w:tc>
      </w:tr>
      <w:tr>
        <w:tc>
          <w:tcPr>
            <w:tcW w:type="dxa" w:w="3168"/>
          </w:tcPr>
          <w:p>
            <w:pPr>
              <w:jc w:val="left"/>
            </w:pPr>
            <w:r>
              <w:rPr>
                <w:sz w:val="20"/>
              </w:rPr>
              <w:t>attendance_percentage</w:t>
            </w:r>
          </w:p>
        </w:tc>
        <w:tc>
          <w:tcPr>
            <w:tcW w:type="dxa" w:w="1728"/>
          </w:tcPr>
          <w:p>
            <w:pPr>
              <w:jc w:val="center"/>
            </w:pPr>
            <w:r>
              <w:rPr>
                <w:sz w:val="20"/>
              </w:rPr>
              <w:t>36</w:t>
            </w:r>
          </w:p>
        </w:tc>
        <w:tc>
          <w:tcPr>
            <w:tcW w:type="dxa" w:w="3312"/>
          </w:tcPr>
          <w:p>
            <w:pPr>
              <w:jc w:val="center"/>
            </w:pPr>
            <w:r>
              <w:rPr>
                <w:sz w:val="20"/>
              </w:rPr>
              <w:t>Median Imputation (robust to outliers)</w:t>
            </w:r>
          </w:p>
        </w:tc>
        <w:tc>
          <w:tcPr>
            <w:tcW w:type="dxa" w:w="1872"/>
          </w:tcPr>
          <w:p>
            <w:pPr>
              <w:jc w:val="center"/>
            </w:pPr>
            <w:r>
              <w:rPr>
                <w:sz w:val="20"/>
              </w:rPr>
              <w:t>69.55%</w:t>
            </w:r>
          </w:p>
        </w:tc>
      </w:tr>
      <w:tr>
        <w:tc>
          <w:tcPr>
            <w:tcW w:type="dxa" w:w="3168"/>
            <w:shd w:fill="F2F5F8"/>
          </w:tcPr>
          <w:p>
            <w:pPr>
              <w:jc w:val="left"/>
            </w:pPr>
            <w:r>
              <w:rPr>
                <w:sz w:val="20"/>
              </w:rPr>
              <w:t>study_hours_per_week</w:t>
            </w:r>
          </w:p>
        </w:tc>
        <w:tc>
          <w:tcPr>
            <w:tcW w:type="dxa" w:w="1728"/>
            <w:shd w:fill="F2F5F8"/>
          </w:tcPr>
          <w:p>
            <w:pPr>
              <w:jc w:val="center"/>
            </w:pPr>
            <w:r>
              <w:rPr>
                <w:sz w:val="20"/>
              </w:rPr>
              <w:t>30</w:t>
            </w:r>
          </w:p>
        </w:tc>
        <w:tc>
          <w:tcPr>
            <w:tcW w:type="dxa" w:w="3312"/>
            <w:shd w:fill="F2F5F8"/>
          </w:tcPr>
          <w:p>
            <w:pPr>
              <w:jc w:val="center"/>
            </w:pPr>
            <w:r>
              <w:rPr>
                <w:sz w:val="20"/>
              </w:rPr>
              <w:t>Median Imputation</w:t>
            </w:r>
          </w:p>
        </w:tc>
        <w:tc>
          <w:tcPr>
            <w:tcW w:type="dxa" w:w="1872"/>
            <w:shd w:fill="F2F5F8"/>
          </w:tcPr>
          <w:p>
            <w:pPr>
              <w:jc w:val="center"/>
            </w:pPr>
            <w:r>
              <w:rPr>
                <w:sz w:val="20"/>
              </w:rPr>
              <w:t>19.75 hrs/wk</w:t>
            </w:r>
          </w:p>
        </w:tc>
      </w:tr>
      <w:tr>
        <w:tc>
          <w:tcPr>
            <w:tcW w:type="dxa" w:w="3168"/>
          </w:tcPr>
          <w:p>
            <w:pPr>
              <w:jc w:val="left"/>
            </w:pPr>
            <w:r>
              <w:rPr>
                <w:sz w:val="20"/>
              </w:rPr>
              <w:t>assignment_score</w:t>
            </w:r>
          </w:p>
        </w:tc>
        <w:tc>
          <w:tcPr>
            <w:tcW w:type="dxa" w:w="1728"/>
          </w:tcPr>
          <w:p>
            <w:pPr>
              <w:jc w:val="center"/>
            </w:pPr>
            <w:r>
              <w:rPr>
                <w:sz w:val="20"/>
              </w:rPr>
              <w:t>48</w:t>
            </w:r>
          </w:p>
        </w:tc>
        <w:tc>
          <w:tcPr>
            <w:tcW w:type="dxa" w:w="3312"/>
          </w:tcPr>
          <w:p>
            <w:pPr>
              <w:jc w:val="center"/>
            </w:pPr>
            <w:r>
              <w:rPr>
                <w:sz w:val="20"/>
              </w:rPr>
              <w:t>Median Imputation</w:t>
            </w:r>
          </w:p>
        </w:tc>
        <w:tc>
          <w:tcPr>
            <w:tcW w:type="dxa" w:w="1872"/>
          </w:tcPr>
          <w:p>
            <w:pPr>
              <w:jc w:val="center"/>
            </w:pPr>
            <w:r>
              <w:rPr>
                <w:sz w:val="20"/>
              </w:rPr>
              <w:t>59.00 / 100</w:t>
            </w:r>
          </w:p>
        </w:tc>
      </w:tr>
      <w:tr>
        <w:tc>
          <w:tcPr>
            <w:tcW w:type="dxa" w:w="3168"/>
            <w:shd w:fill="F2F5F8"/>
          </w:tcPr>
          <w:p>
            <w:pPr>
              <w:jc w:val="left"/>
            </w:pPr>
            <w:r>
              <w:rPr>
                <w:sz w:val="20"/>
              </w:rPr>
              <w:t>previous_semester_gpa</w:t>
            </w:r>
          </w:p>
        </w:tc>
        <w:tc>
          <w:tcPr>
            <w:tcW w:type="dxa" w:w="1728"/>
            <w:shd w:fill="F2F5F8"/>
          </w:tcPr>
          <w:p>
            <w:pPr>
              <w:jc w:val="center"/>
            </w:pPr>
            <w:r>
              <w:rPr>
                <w:sz w:val="20"/>
              </w:rPr>
              <w:t>42</w:t>
            </w:r>
          </w:p>
        </w:tc>
        <w:tc>
          <w:tcPr>
            <w:tcW w:type="dxa" w:w="3312"/>
            <w:shd w:fill="F2F5F8"/>
          </w:tcPr>
          <w:p>
            <w:pPr>
              <w:jc w:val="center"/>
            </w:pPr>
            <w:r>
              <w:rPr>
                <w:sz w:val="20"/>
              </w:rPr>
              <w:t>Median Imputation</w:t>
            </w:r>
          </w:p>
        </w:tc>
        <w:tc>
          <w:tcPr>
            <w:tcW w:type="dxa" w:w="1872"/>
            <w:shd w:fill="F2F5F8"/>
          </w:tcPr>
          <w:p>
            <w:pPr>
              <w:jc w:val="center"/>
            </w:pPr>
            <w:r>
              <w:rPr>
                <w:sz w:val="20"/>
              </w:rPr>
              <w:t>5.96 / 10.0</w:t>
            </w:r>
          </w:p>
        </w:tc>
      </w:tr>
      <w:tr>
        <w:tc>
          <w:tcPr>
            <w:tcW w:type="dxa" w:w="3168"/>
          </w:tcPr>
          <w:p>
            <w:pPr>
              <w:jc w:val="left"/>
            </w:pPr>
            <w:r>
              <w:rPr>
                <w:sz w:val="20"/>
              </w:rPr>
              <w:t>Duplicate Rows</w:t>
            </w:r>
          </w:p>
        </w:tc>
        <w:tc>
          <w:tcPr>
            <w:tcW w:type="dxa" w:w="1728"/>
          </w:tcPr>
          <w:p>
            <w:pPr>
              <w:jc w:val="center"/>
            </w:pPr>
            <w:r>
              <w:rPr>
                <w:sz w:val="20"/>
              </w:rPr>
              <w:t>15</w:t>
            </w:r>
          </w:p>
        </w:tc>
        <w:tc>
          <w:tcPr>
            <w:tcW w:type="dxa" w:w="3312"/>
          </w:tcPr>
          <w:p>
            <w:pPr>
              <w:jc w:val="center"/>
            </w:pPr>
            <w:r>
              <w:rPr>
                <w:sz w:val="20"/>
              </w:rPr>
              <w:t>Deduplication via drop_duplicates()</w:t>
            </w:r>
          </w:p>
        </w:tc>
        <w:tc>
          <w:tcPr>
            <w:tcW w:type="dxa" w:w="1872"/>
          </w:tcPr>
          <w:p>
            <w:pPr>
              <w:jc w:val="center"/>
            </w:pPr>
            <w:r>
              <w:rPr>
                <w:sz w:val="20"/>
              </w:rPr>
              <w:t>0 duplicates left</w:t>
            </w:r>
          </w:p>
        </w:tc>
      </w:tr>
    </w:tbl>
    <w:p>
      <w:pPr>
        <w:spacing w:after="160"/>
      </w:pPr>
    </w:p>
    <w:p>
      <w:pPr>
        <w:spacing w:before="360" w:after="120"/>
      </w:pPr>
      <w:r>
        <w:rPr>
          <w:b/>
          <w:color w:val="003366"/>
          <w:sz w:val="32"/>
        </w:rPr>
        <w:t>4. Exploratory Data Analysis (EDA) &amp; Key Findings</w:t>
      </w:r>
    </w:p>
    <w:p>
      <w:pPr>
        <w:pStyle w:val="ListBullet"/>
        <w:spacing w:after="80" w:line="276" w:lineRule="auto"/>
      </w:pPr>
      <w:r>
        <w:rPr>
          <w:b/>
        </w:rPr>
        <w:t>Previous Semester GPA:</w:t>
      </w:r>
      <w:r>
        <w:t xml:space="preserve"> (weight = 2.5) is the single highest predictor of final exam performance.</w:t>
      </w:r>
    </w:p>
    <w:p>
      <w:pPr>
        <w:pStyle w:val="ListBullet"/>
        <w:spacing w:after="80" w:line="276" w:lineRule="auto"/>
      </w:pPr>
      <w:r>
        <w:rPr>
          <w:b/>
        </w:rPr>
        <w:t>Study &amp; Attendance:</w:t>
      </w:r>
      <w:r>
        <w:t xml:space="preserve"> Consistent study habits (15-25 hrs/week) and attendance (&gt;75%) demonstrate strong positive correlations with exam scores.</w:t>
      </w:r>
    </w:p>
    <w:p>
      <w:pPr>
        <w:pStyle w:val="ListBullet"/>
        <w:spacing w:after="80" w:line="276" w:lineRule="auto"/>
      </w:pPr>
      <w:r>
        <w:rPr>
          <w:b/>
        </w:rPr>
        <w:t>Lifestyle Balance:</w:t>
      </w:r>
      <w:r>
        <w:t xml:space="preserve"> Adequate sleep (7-8 hours) correlates with positive exam score deltas (+0.3), whereas excessive unstructured internet usage (&gt;6 hrs/day) exhibits negative impact (-0.4 weight).</w:t>
      </w:r>
    </w:p>
    <w:p>
      <w:pPr>
        <w:pStyle w:val="ListBullet"/>
        <w:spacing w:after="80" w:line="276" w:lineRule="auto"/>
      </w:pPr>
      <w:r>
        <w:rPr>
          <w:b/>
        </w:rPr>
        <w:t>Performance Distribution:</w:t>
      </w:r>
      <w:r>
        <w:t xml:space="preserve"> Out of 1,200 evaluated students, 18.75% achieved scores &gt;= 60.0, establishing a rigorous evaluation distribution across 6 engineering branches (CSE, ECE, EEE, MECH, CIVIL, IT).</w:t>
      </w:r>
    </w:p>
    <w:p>
      <w:pPr>
        <w:spacing w:before="360" w:after="120"/>
      </w:pPr>
      <w:r>
        <w:rPr>
          <w:b/>
          <w:color w:val="003366"/>
          <w:sz w:val="32"/>
        </w:rPr>
        <w:t>5. Machine Learning Modeling &amp; Comparative Evaluation</w:t>
      </w:r>
    </w:p>
    <w:p>
      <w:pPr>
        <w:spacing w:after="120" w:line="276" w:lineRule="auto"/>
      </w:pPr>
      <w:r>
        <w:t>The dataset was split using an 80/20 train-test ratio (960 training samples, 240 evaluation samples) with random_state=42. Eleven independent features (9 numerical + 2 LabelEncoded categorical features) were utilized. Target leakage was strictly prevented by isolating the target variable (final_exam_score) and target-derived classes from the feature matrix.</w:t>
      </w:r>
    </w:p>
    <w:p>
      <w:pPr>
        <w:spacing w:before="280" w:after="80"/>
      </w:pPr>
      <w:r>
        <w:rPr>
          <w:b/>
          <w:color w:val="1E508C"/>
          <w:sz w:val="26"/>
        </w:rPr>
        <w:t>Model Performance Benchmark</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003366"/>
          </w:tcPr>
          <w:p>
            <w:pPr>
              <w:jc w:val="center"/>
            </w:pPr>
            <w:r>
              <w:rPr>
                <w:b/>
                <w:color w:val="FFFFFF"/>
                <w:sz w:val="21"/>
              </w:rPr>
              <w:t>Model Architecture</w:t>
            </w:r>
          </w:p>
        </w:tc>
        <w:tc>
          <w:tcPr>
            <w:tcW w:type="dxa" w:w="1584"/>
            <w:shd w:fill="003366"/>
          </w:tcPr>
          <w:p>
            <w:pPr>
              <w:jc w:val="center"/>
            </w:pPr>
            <w:r>
              <w:rPr>
                <w:b/>
                <w:color w:val="FFFFFF"/>
                <w:sz w:val="21"/>
              </w:rPr>
              <w:t>MAE (Points)</w:t>
            </w:r>
          </w:p>
        </w:tc>
        <w:tc>
          <w:tcPr>
            <w:tcW w:type="dxa" w:w="1584"/>
            <w:shd w:fill="003366"/>
          </w:tcPr>
          <w:p>
            <w:pPr>
              <w:jc w:val="center"/>
            </w:pPr>
            <w:r>
              <w:rPr>
                <w:b/>
                <w:color w:val="FFFFFF"/>
                <w:sz w:val="21"/>
              </w:rPr>
              <w:t>RMSE (Points)</w:t>
            </w:r>
          </w:p>
        </w:tc>
        <w:tc>
          <w:tcPr>
            <w:tcW w:type="dxa" w:w="1440"/>
            <w:shd w:fill="003366"/>
          </w:tcPr>
          <w:p>
            <w:pPr>
              <w:jc w:val="center"/>
            </w:pPr>
            <w:r>
              <w:rPr>
                <w:b/>
                <w:color w:val="FFFFFF"/>
                <w:sz w:val="21"/>
              </w:rPr>
              <w:t>R² Score</w:t>
            </w:r>
          </w:p>
        </w:tc>
        <w:tc>
          <w:tcPr>
            <w:tcW w:type="dxa" w:w="3024"/>
            <w:shd w:fill="003366"/>
          </w:tcPr>
          <w:p>
            <w:pPr>
              <w:jc w:val="center"/>
            </w:pPr>
            <w:r>
              <w:rPr>
                <w:b/>
                <w:color w:val="FFFFFF"/>
                <w:sz w:val="21"/>
              </w:rPr>
              <w:t>Evaluation Verdict</w:t>
            </w:r>
          </w:p>
        </w:tc>
      </w:tr>
      <w:tr>
        <w:tc>
          <w:tcPr>
            <w:tcW w:type="dxa" w:w="3168"/>
          </w:tcPr>
          <w:p>
            <w:pPr>
              <w:jc w:val="left"/>
            </w:pPr>
            <w:r>
              <w:rPr>
                <w:sz w:val="20"/>
              </w:rPr>
              <w:t>Linear Regression</w:t>
            </w:r>
          </w:p>
        </w:tc>
        <w:tc>
          <w:tcPr>
            <w:tcW w:type="dxa" w:w="1584"/>
          </w:tcPr>
          <w:p>
            <w:pPr>
              <w:jc w:val="center"/>
            </w:pPr>
            <w:r>
              <w:rPr>
                <w:sz w:val="20"/>
              </w:rPr>
              <w:t>4.2269</w:t>
            </w:r>
          </w:p>
        </w:tc>
        <w:tc>
          <w:tcPr>
            <w:tcW w:type="dxa" w:w="1584"/>
          </w:tcPr>
          <w:p>
            <w:pPr>
              <w:jc w:val="center"/>
            </w:pPr>
            <w:r>
              <w:rPr>
                <w:sz w:val="20"/>
              </w:rPr>
              <w:t>5.3535</w:t>
            </w:r>
          </w:p>
        </w:tc>
        <w:tc>
          <w:tcPr>
            <w:tcW w:type="dxa" w:w="1440"/>
          </w:tcPr>
          <w:p>
            <w:pPr>
              <w:jc w:val="center"/>
            </w:pPr>
            <w:r>
              <w:rPr>
                <w:sz w:val="20"/>
              </w:rPr>
              <w:t>0.7041</w:t>
            </w:r>
          </w:p>
        </w:tc>
        <w:tc>
          <w:tcPr>
            <w:tcW w:type="dxa" w:w="3024"/>
          </w:tcPr>
          <w:p>
            <w:pPr>
              <w:jc w:val="center"/>
            </w:pPr>
            <w:r>
              <w:rPr>
                <w:sz w:val="20"/>
              </w:rPr>
              <w:t>🏆 Best Performer (Explains 70.41% Variance)</w:t>
            </w:r>
          </w:p>
        </w:tc>
      </w:tr>
      <w:tr>
        <w:tc>
          <w:tcPr>
            <w:tcW w:type="dxa" w:w="3168"/>
            <w:shd w:fill="F2F5F8"/>
          </w:tcPr>
          <w:p>
            <w:pPr>
              <w:jc w:val="left"/>
            </w:pPr>
            <w:r>
              <w:rPr>
                <w:sz w:val="20"/>
              </w:rPr>
              <w:t>Random Forest Regressor (n=100)</w:t>
            </w:r>
          </w:p>
        </w:tc>
        <w:tc>
          <w:tcPr>
            <w:tcW w:type="dxa" w:w="1584"/>
            <w:shd w:fill="F2F5F8"/>
          </w:tcPr>
          <w:p>
            <w:pPr>
              <w:jc w:val="center"/>
            </w:pPr>
            <w:r>
              <w:rPr>
                <w:sz w:val="20"/>
              </w:rPr>
              <w:t>4.8110</w:t>
            </w:r>
          </w:p>
        </w:tc>
        <w:tc>
          <w:tcPr>
            <w:tcW w:type="dxa" w:w="1584"/>
            <w:shd w:fill="F2F5F8"/>
          </w:tcPr>
          <w:p>
            <w:pPr>
              <w:jc w:val="center"/>
            </w:pPr>
            <w:r>
              <w:rPr>
                <w:sz w:val="20"/>
              </w:rPr>
              <w:t>6.0471</w:t>
            </w:r>
          </w:p>
        </w:tc>
        <w:tc>
          <w:tcPr>
            <w:tcW w:type="dxa" w:w="1440"/>
            <w:shd w:fill="F2F5F8"/>
          </w:tcPr>
          <w:p>
            <w:pPr>
              <w:jc w:val="center"/>
            </w:pPr>
            <w:r>
              <w:rPr>
                <w:sz w:val="20"/>
              </w:rPr>
              <w:t>0.6225</w:t>
            </w:r>
          </w:p>
        </w:tc>
        <w:tc>
          <w:tcPr>
            <w:tcW w:type="dxa" w:w="3024"/>
            <w:shd w:fill="F2F5F8"/>
          </w:tcPr>
          <w:p>
            <w:pPr>
              <w:jc w:val="center"/>
            </w:pPr>
            <w:r>
              <w:rPr>
                <w:sz w:val="20"/>
              </w:rPr>
              <w:t>Sub-optimal due to linear underlying relationships</w:t>
            </w:r>
          </w:p>
        </w:tc>
      </w:tr>
    </w:tbl>
    <w:p>
      <w:pPr>
        <w:spacing w:after="160"/>
      </w:pPr>
    </w:p>
    <w:p>
      <w:pPr>
        <w:spacing w:after="120" w:line="276" w:lineRule="auto"/>
      </w:pPr>
      <w:r>
        <w:t>Interpretation: Linear Regression achieved superior generalization with an MAE of 4.23 points on a 0-100 scale. This confirms that academic performance drivers maintain predominantly proportional, linear relationships with final outcomes.</w:t>
      </w:r>
    </w:p>
    <w:p>
      <w:pPr>
        <w:spacing w:before="360" w:after="120"/>
      </w:pPr>
      <w:r>
        <w:rPr>
          <w:b/>
          <w:color w:val="003366"/>
          <w:sz w:val="32"/>
        </w:rPr>
        <w:t>6. Streamlit Web Application Architecture</w:t>
      </w:r>
    </w:p>
    <w:p>
      <w:pPr>
        <w:spacing w:after="120" w:line="276" w:lineRule="auto"/>
      </w:pPr>
      <w:r>
        <w:t>The application (app.py) provides a responsive 5-page dashboard with session state authentication:</w:t>
      </w:r>
    </w:p>
    <w:p>
      <w:pPr>
        <w:pStyle w:val="ListBullet"/>
        <w:spacing w:after="80" w:line="276" w:lineRule="auto"/>
      </w:pPr>
      <w:r>
        <w:rPr>
          <w:b/>
        </w:rPr>
        <w:t>1. Overview Dashboard:</w:t>
      </w:r>
      <w:r>
        <w:t xml:space="preserve"> Real-time KPI metric tiles, score distribution histograms, performance category donut charts, department averages, and cleaned dataset browser.</w:t>
      </w:r>
    </w:p>
    <w:p>
      <w:pPr>
        <w:pStyle w:val="ListBullet"/>
        <w:spacing w:after="80" w:line="276" w:lineRule="auto"/>
      </w:pPr>
      <w:r>
        <w:rPr>
          <w:b/>
        </w:rPr>
        <w:t>2. Dataset &amp; Cleaning:</w:t>
      </w:r>
      <w:r>
        <w:t xml:space="preserve"> Visual data cleaning workflow pipeline, raw vs cleaned comparison statistics, missing value audit, and duplicate removal summary.</w:t>
      </w:r>
    </w:p>
    <w:p>
      <w:pPr>
        <w:pStyle w:val="ListBullet"/>
        <w:spacing w:after="80" w:line="276" w:lineRule="auto"/>
      </w:pPr>
      <w:r>
        <w:rPr>
          <w:b/>
        </w:rPr>
        <w:t>3. Exploratory Analysis:</w:t>
      </w:r>
      <w:r>
        <w:t xml:space="preserve"> Multi-variable dynamic filters (Department, Academic Year, Gender), scatter regression plots, box plots, and Seaborn correlation heatmap.</w:t>
      </w:r>
    </w:p>
    <w:p>
      <w:pPr>
        <w:pStyle w:val="ListBullet"/>
        <w:spacing w:after="80" w:line="276" w:lineRule="auto"/>
      </w:pPr>
      <w:r>
        <w:rPr>
          <w:b/>
        </w:rPr>
        <w:t>4. Model Comparison:</w:t>
      </w:r>
      <w:r>
        <w:t xml:space="preserve"> Side-by-side metric comparison cards, R² / MAE bar charts, feature weight inspection, and best model highlight.</w:t>
      </w:r>
    </w:p>
    <w:p>
      <w:pPr>
        <w:pStyle w:val="ListBullet"/>
        <w:spacing w:after="80" w:line="276" w:lineRule="auto"/>
      </w:pPr>
      <w:r>
        <w:rPr>
          <w:b/>
        </w:rPr>
        <w:t>5. Predict Performance:</w:t>
      </w:r>
      <w:r>
        <w:t xml:space="preserve"> Interactive 11-parameter input form providing real-time score prediction, performance category classification, and actionable student recommendations.</w:t>
      </w:r>
    </w:p>
    <w:p>
      <w:pPr>
        <w:spacing w:before="360" w:after="120"/>
      </w:pPr>
      <w:r>
        <w:rPr>
          <w:b/>
          <w:color w:val="003366"/>
          <w:sz w:val="32"/>
        </w:rPr>
        <w:t>7. Viva Voce High-Yield Q&amp;A</w:t>
      </w:r>
    </w:p>
    <w:p>
      <w:pPr>
        <w:pStyle w:val="ListBullet"/>
        <w:spacing w:after="80" w:line="276" w:lineRule="auto"/>
      </w:pPr>
      <w:r>
        <w:rPr>
          <w:b/>
        </w:rPr>
        <w:t>Q1: Objective? -</w:t>
      </w:r>
      <w:r>
        <w:t xml:space="preserve"> To predict final exam scores and analyze academic drivers using data analytics and ML regression.</w:t>
      </w:r>
    </w:p>
    <w:p>
      <w:pPr>
        <w:pStyle w:val="ListBullet"/>
        <w:spacing w:after="80" w:line="276" w:lineRule="auto"/>
      </w:pPr>
      <w:r>
        <w:rPr>
          <w:b/>
        </w:rPr>
        <w:t>Q2: Dataset size &amp; source? -</w:t>
      </w:r>
      <w:r>
        <w:t xml:space="preserve"> 1,200 cleaned records, 16 features, synthetic generation with seed=42 for reproducible benchmarking.</w:t>
      </w:r>
    </w:p>
    <w:p>
      <w:pPr>
        <w:pStyle w:val="ListBullet"/>
        <w:spacing w:after="80" w:line="276" w:lineRule="auto"/>
      </w:pPr>
      <w:r>
        <w:rPr>
          <w:b/>
        </w:rPr>
        <w:t>Q3: Data cleaning? -</w:t>
      </w:r>
      <w:r>
        <w:t xml:space="preserve"> 157 missing values across 4 columns (median imputation) + 15 duplicate rows removed.</w:t>
      </w:r>
    </w:p>
    <w:p>
      <w:pPr>
        <w:pStyle w:val="ListBullet"/>
        <w:spacing w:after="80" w:line="276" w:lineRule="auto"/>
      </w:pPr>
      <w:r>
        <w:rPr>
          <w:b/>
        </w:rPr>
        <w:t>Q4: ML Models? -</w:t>
      </w:r>
      <w:r>
        <w:t xml:space="preserve"> Linear Regression (R² = 0.7041, MAE = 4.23) vs Random Forest (R² = 0.6225, MAE = 4.81).</w:t>
      </w:r>
    </w:p>
    <w:p>
      <w:pPr>
        <w:pStyle w:val="ListBullet"/>
        <w:spacing w:after="80" w:line="276" w:lineRule="auto"/>
      </w:pPr>
      <w:r>
        <w:rPr>
          <w:b/>
        </w:rPr>
        <w:t>Q5: Why did Linear Regression win? -</w:t>
      </w:r>
      <w:r>
        <w:t xml:space="preserve"> Linear Regression won because academic features have proportional relationships with final exam scores.</w:t>
      </w:r>
    </w:p>
    <w:p>
      <w:pPr>
        <w:pStyle w:val="ListBullet"/>
        <w:spacing w:after="80" w:line="276" w:lineRule="auto"/>
      </w:pPr>
      <w:r>
        <w:rPr>
          <w:b/>
        </w:rPr>
        <w:t>Q6: Data leakage prevention? -</w:t>
      </w:r>
      <w:r>
        <w:t xml:space="preserve"> 80/20 train/test split, strict target isolation, saved LabelEncoders ensuring consistent production inference.</w:t>
      </w:r>
    </w:p>
    <w:p>
      <w:pPr>
        <w:spacing w:before="360" w:after="120"/>
      </w:pPr>
      <w:r>
        <w:rPr>
          <w:b/>
          <w:color w:val="003366"/>
          <w:sz w:val="32"/>
        </w:rPr>
        <w:t>8. Conclusion &amp; Submission Sign-Off</w:t>
      </w:r>
    </w:p>
    <w:p>
      <w:pPr>
        <w:spacing w:after="120" w:line="276" w:lineRule="auto"/>
      </w:pPr>
      <w:r>
        <w:t>All software components, datasets, serialized models, interactive dashboards, and academic documents have been verified, tested, and stored in the project repository. The application is completely ready for lab evaluation, viva defense, and demonstration.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