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SDM374 代理模型评估与选型总结报告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评分协议 v3.2 · 冻结嵌套交叉验证 · 30 个候选 · 2026-10-25</w:t>
      </w:r>
    </w:p>
    <w:p>
      <w:pPr>
        <w:pStyle w:val="Heading1"/>
      </w:pPr>
      <w:r>
        <w:t xml:space="preserve">一、任务与评估口径</w:t>
      </w:r>
    </w:p>
    <w:p>
      <w:pPr>
        <w:spacing w:after="120" w:line="300"/>
      </w:pPr>
      <w:r>
        <w:rPr>
          <w:b w:val="false"/>
          <w:bCs w:val="false"/>
          <w:sz w:val="21"/>
          <w:szCs w:val="21"/>
        </w:rPr>
        <w:t xml:space="preserve">目标：以 21 维建筑权重特征预测候选方案的 ramping 值（2048 条候选），为低 ramping 优选提供代理模型。全部候选模型在冻结的嵌套交叉验证划分（2 次重复 × 5 外层折，共 10 折，内外层编号固定、未重新划分）上评估，预测均由已冻结的模型权重重新计算，未重新训练。</w:t>
      </w:r>
    </w:p>
    <w:p>
      <w:pPr>
        <w:spacing w:after="120" w:line="300"/>
      </w:pPr>
      <w:r>
        <w:rPr>
          <w:b w:val="false"/>
          <w:bCs w:val="false"/>
          <w:sz w:val="21"/>
          <w:szCs w:val="21"/>
        </w:rPr>
        <w:t xml:space="preserve">评分器为正式发布的 surrogate tolerance v3.2（满分 100），五个分项：低值区排序 35 分、低值区 MAE 15 分、全局排序 15 分、全局 MAE 15 分、第一推荐（Top-1 遗憾）20 分。排名按 10 折总分均值，统计检验基于逐折配对差。</w:t>
      </w:r>
    </w:p>
    <w:p>
      <w:pPr>
        <w:pStyle w:val="Heading1"/>
      </w:pPr>
      <w:r>
        <w:t xml:space="preserve">二、模型尝试总览</w:t>
      </w:r>
    </w:p>
    <w:p>
      <w:pPr>
        <w:spacing w:after="120" w:line="300"/>
      </w:pPr>
      <w:r>
        <w:rPr>
          <w:b w:val="false"/>
          <w:bCs w:val="false"/>
          <w:sz w:val="21"/>
          <w:szCs w:val="21"/>
        </w:rPr>
        <w:t xml:space="preserve">共评估 30 个候选（300 个外层折模型），覆盖 4 个模型族与 10 种训练策略：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尝试内容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思路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模型族（4 种）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XGBoost、GBDT、HistGB、LightGBM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梯度提升树的不同实现，含直方图加速与分位数损失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全量基准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不裁剪不加权，内层 3 折 RMSE 选参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对照组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截断训练（3 种）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只用 ramping 最低 60% / 80% 训练；丢弃最高 10% + 低 20% 权重 3×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牺牲高值区换低值区分辨率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样本加权 v1（3 种）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按 ID 前 20% 权重 5×；按 ramping 低 40% 权重 5×；低 20%×5 + 20–40%×2 分层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不丢数据，用权重聚焦低值区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非对称加权 v2（2 种）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低 5%×5 + 5–20%×3；低 10%×5 + 10–40%×3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更温和的加权，试图兼顾全局保真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分位数回归（3 档）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LightGBM pinball 损失，α=0.1 / 0.2 / 0.3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直接拟合低分位数，压低低值区 MAE</w:t>
            </w:r>
          </w:p>
        </w:tc>
      </w:tr>
    </w:tbl>
    <w:p>
      <w:pPr>
        <w:pStyle w:val="Heading1"/>
      </w:pPr>
      <w:r>
        <w:t xml:space="preserve">三、评估结果</w:t>
      </w:r>
    </w:p>
    <w:p>
      <w:pPr>
        <w:pStyle w:val="Heading2"/>
      </w:pPr>
      <w:r>
        <w:t xml:space="preserve">2.1 前十名候选（10 折总分均值）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60"/>
        <w:gridCol w:w="900"/>
        <w:gridCol w:w="900"/>
        <w:gridCol w:w="1500"/>
        <w:gridCol w:w="1200"/>
        <w:gridCol w:w="11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排名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候选（策略+模型）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总分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折间SD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95% CI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低值排序/35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第一推荐/20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low90_w20x3 + XGBoost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74.72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69.9–79.2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low80 + HistGB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74.50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69.2–79.5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low60 + HistGB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74.21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69.1–78.7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low90_w20x3 + HistGB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73.73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69.8–77.8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tiered 分层加权 + HistGB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73.26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67.5–78.1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weighted（ID 前 20%×5）+ HistGB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72.84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6.60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68.8–76.5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全量基准 + HistGB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72.64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68.7–76.3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tiered 分层加权 + GBDT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72.57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66.9–77.6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非对称 lowramp + GBDT（v2 最佳）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72.53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67.2–77.7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19.83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17.74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w40x5 + HistGB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72.52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68.9–75.7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18.73</w:t>
            </w:r>
          </w:p>
        </w:tc>
      </w:tr>
    </w:tbl>
    <w:p>
      <w:pPr>
        <w:spacing w:after="120" w:line="300"/>
      </w:pPr>
      <w:r>
        <w:rPr>
          <w:b w:val="false"/>
          <w:bCs w:val="false"/>
          <w:sz w:val="18"/>
          <w:szCs w:val="18"/>
        </w:rPr>
        <w:t xml:space="preserve">注：分位数模型最佳为 α=0.3（71.50，第 21 名）；α=0.1 为 71.19（第 23 名）；α=0.2 为 70.67（第 27 名）。完整 30 候选排名见附表 ranking_overall_with_v2.csv。</w:t>
      </w:r>
    </w:p>
    <w:p>
      <w:pPr>
        <w:pStyle w:val="Heading2"/>
      </w:pPr>
      <w:r>
        <w:t xml:space="preserve">2.2 前十名分项表现</w:t>
      </w:r>
    </w:p>
    <w:p>
      <w:pPr>
        <w:spacing w:after="120"/>
        <w:jc w:val="center"/>
      </w:pPr>
      <w:r>
        <w:drawing>
          <wp:inline distT="0" distB="0" distL="0" distR="0">
            <wp:extent cx="6096000" cy="3219450"/>
            <wp:effectExtent t="0" r="0" b="0" l="0"/>
            <wp:docPr id="1" name="top10" descr="前十名候选总分与五个分项直方图" title="top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图 1  前十名候选的总分（含折间 SD 误差线）与五个分项；红色为 v2 候选</w:t>
      </w:r>
    </w:p>
    <w:p>
      <w:pPr>
        <w:pStyle w:val="Heading1"/>
      </w:pPr>
      <w:r>
        <w:t xml:space="preserve">四、效果分析与可能原因</w:t>
      </w:r>
    </w:p>
    <w:p>
      <w:pPr>
        <w:pStyle w:val="Heading2"/>
      </w:pPr>
      <w:r>
        <w:t xml:space="preserve">3.1 前三名为什么赢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1"/>
          <w:szCs w:val="21"/>
        </w:rPr>
        <w:t xml:space="preserve">权重结构决定赢家。</w:t>
      </w:r>
      <w:r>
        <w:rPr>
          <w:sz w:val="21"/>
          <w:szCs w:val="21"/>
        </w:rPr>
        <w:t xml:space="preserve">前三名（low90_w20x3+XGB、low80+HistGB、low60+HistGB）全部是低值聚焦策略，赢在 v3.2 的权重结构：低值区排序 + 第一推荐合计 55 分。三者低值排序 21.2–22.2（基准仅 18.9），第一推荐 18.5–19.5 持平或更高。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代价体现在全局两项：全局排序 11.5–12.8、全局 MAE 项 10.2–11.3，均低于基准（13.19 / 11.50）。即高分来自低值区，而非全区间更准。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统计上不可区分：第 1 与第 2 仅差 0.22 分（配对差 SD 3.58），第 3 在 10 折中 6 折还高于第 1。折间波动 ±8 分远大于前三名之间的差距，排名只能作名义顺序，应按并列组报告。</w:t>
      </w:r>
    </w:p>
    <w:p>
      <w:pPr>
        <w:pStyle w:val="Heading2"/>
      </w:pPr>
      <w:r>
        <w:t xml:space="preserve">3.2 其他策略为什么没进前三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1"/>
          <w:szCs w:val="21"/>
        </w:rPr>
        <w:t xml:space="preserve">非对称加权（v2，第 9–13 名）：</w:t>
      </w:r>
      <w:r>
        <w:rPr>
          <w:sz w:val="21"/>
          <w:szCs w:val="21"/>
        </w:rPr>
        <w:t xml:space="preserve">保住了全局（全局 MAE 原值 4.82–4.99 ≈ 基准 4.79，且无截断、无外推风险），但低值区分辨率没有超过基准（低值排序 18.4–19.8 vs 基准 18.9）。在 55 分压向低值区的规则下，"不输基准"不等于"加分"，总分停在 72.2–72.5 与基准持平。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1"/>
          <w:szCs w:val="21"/>
        </w:rPr>
        <w:t xml:space="preserve">分位数回归（第 21–27 名）：</w:t>
      </w:r>
      <w:r>
        <w:rPr>
          <w:sz w:val="21"/>
          <w:szCs w:val="21"/>
        </w:rPr>
        <w:t xml:space="preserve">α=0.1 把低值 MAE 压到 4.499，为全部 30 个候选最优；但预测整体系统性偏低，全局 MAE 7.97、第一推荐 17.33 失分约 6 分。单靠"压得准"赢不了"排得对 + 命中第一"。三档 α 总分不单调（0.3&gt;0.1&gt;0.2），说明该区间低值收益已被全局损失抵消。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1"/>
          <w:szCs w:val="21"/>
        </w:rPr>
        <w:t xml:space="preserve">截断类策略的共同风险：</w:t>
      </w:r>
      <w:r>
        <w:rPr>
          <w:sz w:val="21"/>
          <w:szCs w:val="21"/>
        </w:rPr>
        <w:t xml:space="preserve">全部按 ramping 截断训练，训练上界以上的外推段 RMSE 16.5–21.6、R²&lt;0，不可用；外推样本占测试集 10%–40%。v3.2 的 MAE 型计分对尾部误差惩罚弱，所以外推失败没有反映到总分里——这是使用边界，不是加分项。</w:t>
      </w:r>
    </w:p>
    <w:p>
      <w:pPr>
        <w:pStyle w:val="Heading2"/>
      </w:pPr>
      <w:r>
        <w:t xml:space="preserve">3.3 最终结论与建议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严格按协议：报 low90_w20x3 + XGBoost 为第一（74.72），同时注明前三名统计上并列。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若只选一个落地：仍推荐 low90_w20x3 + XGBoost——截断最轻（仅丢最高 10%）、分项最均衡、10 折中 7 折优于基准、两次重复方向一致。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若下游一票否决外推风险：选全量基准 HistGB（第 7）或非对称 lowramp + GBDT（第 9），二者总分在噪声内相同；与第一名的约 2.2 分差距就是这份保险的现价。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选型口径提醒：训练阶段按 RMSE 选出的最优是全量 HistGB，与 v3.2 的第 7 名结论并不矛盾——RMSE 榜回答全区间精度，v3.2 榜回答低值区排序与最优命中，对外汇报应同时给出。</w:t>
      </w:r>
    </w:p>
    <w:p>
      <w:pPr>
        <w:spacing w:after="120" w:line="300"/>
      </w:pPr>
      <w:r>
        <w:rPr>
          <w:b w:val="false"/>
          <w:bCs w:val="false"/>
          <w:sz w:val="18"/>
          <w:szCs w:val="18"/>
        </w:rPr>
        <w:t xml:space="preserve">附：所有模型权重、参数、随机种子与逐折预测均已冻结保存，评估脚本（run_evaluation.py / run_evaluation_v2.py）可在不重训的情况下复现全部数字；v2 预测与包内参考逐样本核对最大差 8.5e-14。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80"/>
      <w:outlineLvl w:val="0"/>
    </w:pPr>
    <w:rPr>
      <w:rFonts w:ascii="Arial" w:eastAsia="Microsoft YaHei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Arial" w:eastAsia="Microsoft YaHei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a8cd617ca589e6c31b4449639d1079e18a1c7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2026-10-25T14:12:21.431Z</dcterms:created>
  <dcterms:modified xsi:type="dcterms:W3CDTF">2026-10-25T14:12:21.432Z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