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Arial" w:hAnsi="Arial" w:eastAsia="Microsoft YaHei"/>
          <w:b/>
          <w:color w:val="25282A"/>
          <w:sz w:val="42"/>
        </w:rPr>
        <w:t>D7 Expert Review Report</w:t>
      </w:r>
    </w:p>
    <w:p>
      <w:pPr>
        <w:spacing w:after="240"/>
      </w:pPr>
      <w:r>
        <w:rPr>
          <w:rFonts w:ascii="Arial" w:hAnsi="Arial" w:eastAsia="Microsoft YaHei"/>
          <w:color w:val="5F6B73"/>
          <w:sz w:val="23"/>
        </w:rPr>
        <w:t>Topological Role Consistency and Structural Representativeness | v2.1</w:t>
      </w:r>
    </w:p>
    <w:p>
      <w:pPr>
        <w:spacing w:after="40"/>
      </w:pPr>
      <w:r>
        <w:rPr>
          <w:rFonts w:ascii="Arial" w:hAnsi="Arial" w:eastAsia="Microsoft YaHei"/>
          <w:b/>
          <w:color w:val="168AAD"/>
          <w:sz w:val="19"/>
        </w:rPr>
        <w:t xml:space="preserve">Status: </w:t>
      </w:r>
      <w:r>
        <w:rPr>
          <w:rFonts w:ascii="Arial" w:hAnsi="Arial" w:eastAsia="Microsoft YaHei"/>
          <w:color w:val="25282A"/>
          <w:sz w:val="19"/>
        </w:rPr>
        <w:t>Research package complete; production DQR release blocked</w:t>
      </w:r>
    </w:p>
    <w:p>
      <w:pPr>
        <w:spacing w:after="40"/>
      </w:pPr>
      <w:r>
        <w:rPr>
          <w:rFonts w:ascii="Arial" w:hAnsi="Arial" w:eastAsia="Microsoft YaHei"/>
          <w:b/>
          <w:color w:val="168AAD"/>
          <w:sz w:val="19"/>
        </w:rPr>
        <w:t xml:space="preserve">Run: </w:t>
      </w:r>
      <w:r>
        <w:rPr>
          <w:rFonts w:ascii="Arial" w:hAnsi="Arial" w:eastAsia="Microsoft YaHei"/>
          <w:color w:val="25282A"/>
          <w:sz w:val="19"/>
        </w:rPr>
        <w:t>D7-LOCAL-20260716T125319Z</w:t>
      </w:r>
    </w:p>
    <w:p>
      <w:pPr>
        <w:spacing w:after="40"/>
      </w:pPr>
      <w:r>
        <w:rPr>
          <w:rFonts w:ascii="Arial" w:hAnsi="Arial" w:eastAsia="Microsoft YaHei"/>
          <w:b/>
          <w:color w:val="168AAD"/>
          <w:sz w:val="19"/>
        </w:rPr>
        <w:t xml:space="preserve">Coverage: </w:t>
      </w:r>
      <w:r>
        <w:rPr>
          <w:rFonts w:ascii="Arial" w:hAnsi="Arial" w:eastAsia="Microsoft YaHei"/>
          <w:color w:val="25282A"/>
          <w:sz w:val="19"/>
        </w:rPr>
        <w:t>2025-08-01 00:00:00 to 2026-04-13 23:00:00</w:t>
      </w:r>
    </w:p>
    <w:p>
      <w:pPr>
        <w:spacing w:after="80"/>
      </w:pPr>
    </w:p>
    <w:p>
      <w:pPr>
        <w:pStyle w:val="Heading1"/>
      </w:pPr>
      <w:r>
        <w:t>1. Executive verdict</w:t>
      </w:r>
    </w:p>
    <w:p>
      <w:r>
        <w:rPr>
          <w:rFonts w:ascii="Arial" w:hAnsi="Arial" w:eastAsia="Microsoft YaHei"/>
          <w:color w:val="25282A"/>
          <w:sz w:val="21"/>
        </w:rPr>
        <w:t>D7 v2.1 is complete as a research and review package. The Local, Sensitivity and Shadow V2 tracks, frozen method assets, validation, plotting data, figures, reports and audit records are present and reproducible.</w:t>
      </w:r>
    </w:p>
    <w:p>
      <w:pPr>
        <w:spacing w:before="100" w:after="180"/>
        <w:ind w:left="259" w:right="259"/>
        <w:shd w:fill="F7E7E5"/>
      </w:pPr>
      <w:r>
        <w:rPr>
          <w:rFonts w:ascii="Arial" w:hAnsi="Arial" w:eastAsia="Microsoft YaHei"/>
          <w:b/>
          <w:color w:val="8B2E2E"/>
          <w:sz w:val="21"/>
        </w:rPr>
        <w:t>Production release is blocked: topology/asset identity is unverified, 53 of 56 templates remain L1, and swap Top-1 is 0.75 versus the 0.80 target. D7_total, D7_forDQR and D6 final arbitration therefore remain empty.</w:t>
      </w:r>
    </w:p>
    <w:p>
      <w:pPr>
        <w:pStyle w:val="Heading1"/>
      </w:pPr>
      <w:r>
        <w:t>2. Scope and dimensional independence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D7 evaluates spatial role identity and structural representativeness, not hardware fault type.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D1 covers sensor-intrinsic health; D2 covers continuity/availability; D4 covers physical value/rate constraints; D6 covers temporal synchronization between parallel counterparts.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Local D7 consumes no D1-D6 score, state or event. D1/D2/D4 appear only in the isolated Sensitivity Track.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QR/QIR provide exogenous context only. Low D7_raw is unlabeled structural evidence, not a confirmed fault.</w:t>
      </w:r>
    </w:p>
    <w:p>
      <w:r>
        <w:br w:type="page"/>
      </w:r>
    </w:p>
    <w:p>
      <w:pPr>
        <w:pStyle w:val="Heading1"/>
      </w:pPr>
      <w:r>
        <w:t>3. Current data and outputs</w:t>
      </w:r>
    </w:p>
    <w:p>
      <w:r>
        <w:rPr>
          <w:rFonts w:ascii="Arial" w:hAnsi="Arial" w:eastAsia="Microsoft YaHei"/>
          <w:color w:val="25282A"/>
          <w:sz w:val="21"/>
        </w:rPr>
        <w:t>Sensitivity provenance is bound to frozen D1 release D1REL-1.3.0-f6074be3751f and exact D2/D4/Local artifact hashes. Production arbitration remains pending_not_produced; no D7_forDQR output was generated.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2376"/>
        <w:gridCol w:w="4752"/>
      </w:tblGrid>
      <w:tr>
        <w:trPr>
          <w:tblHeader w:val="true"/>
          <w:cantSplit/>
        </w:trPr>
        <w:tc>
          <w:tcPr>
            <w:tcW w:type="dxa" w:w="2232"/>
            <w:vAlign w:val="center"/>
            <w:shd w:fill="EAF3F5"/>
          </w:tcPr>
          <w:p>
            <w:r>
              <w:rPr>
                <w:rFonts w:ascii="Arial" w:hAnsi="Arial" w:eastAsia="Microsoft YaHei"/>
                <w:b/>
                <w:color w:val="25282A"/>
                <w:sz w:val="18"/>
              </w:rPr>
              <w:t>Measure</w:t>
            </w:r>
          </w:p>
        </w:tc>
        <w:tc>
          <w:tcPr>
            <w:tcW w:type="dxa" w:w="2376"/>
            <w:vAlign w:val="center"/>
            <w:shd w:fill="EAF3F5"/>
          </w:tcPr>
          <w:p>
            <w:r>
              <w:rPr>
                <w:rFonts w:ascii="Arial" w:hAnsi="Arial" w:eastAsia="Microsoft YaHei"/>
                <w:b/>
                <w:color w:val="25282A"/>
                <w:sz w:val="18"/>
              </w:rPr>
              <w:t>Current result</w:t>
            </w:r>
          </w:p>
        </w:tc>
        <w:tc>
          <w:tcPr>
            <w:tcW w:type="dxa" w:w="4752"/>
            <w:vAlign w:val="center"/>
            <w:shd w:fill="EAF3F5"/>
          </w:tcPr>
          <w:p>
            <w:r>
              <w:rPr>
                <w:rFonts w:ascii="Arial" w:hAnsi="Arial" w:eastAsia="Microsoft YaHei"/>
                <w:b/>
                <w:color w:val="25282A"/>
                <w:sz w:val="18"/>
              </w:rPr>
              <w:t>Interpretation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Hourly windows</w:t>
            </w:r>
          </w:p>
        </w:tc>
        <w:tc>
          <w:tcPr>
            <w:tcW w:type="dxa" w:w="2376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86,016</w:t>
            </w:r>
          </w:p>
        </w:tc>
        <w:tc>
          <w:tcPr>
            <w:tcW w:type="dxa" w:w="4752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2025-08-01 00:00:00 to 2026-04-13 23:00:00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D7 raw</w:t>
            </w:r>
          </w:p>
        </w:tc>
        <w:tc>
          <w:tcPr>
            <w:tcW w:type="dxa" w:w="2376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mean 3.155; median 3.186</w:t>
            </w:r>
          </w:p>
        </w:tc>
        <w:tc>
          <w:tcPr>
            <w:tcW w:type="dxa" w:w="4752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Comparative research evidence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Low-score fraction</w:t>
            </w:r>
          </w:p>
        </w:tc>
        <w:tc>
          <w:tcPr>
            <w:tcW w:type="dxa" w:w="2376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43.8%</w:t>
            </w:r>
          </w:p>
        </w:tc>
        <w:tc>
          <w:tcPr>
            <w:tcW w:type="dxa" w:w="4752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Not a fault prevalence estimate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Candidate events</w:t>
            </w:r>
          </w:p>
        </w:tc>
        <w:tc>
          <w:tcPr>
            <w:tcW w:type="dxa" w:w="2376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499</w:t>
            </w:r>
          </w:p>
        </w:tc>
        <w:tc>
          <w:tcPr>
            <w:tcW w:type="dxa" w:w="4752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Unreviewed and unlabeled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OOD hold</w:t>
            </w:r>
          </w:p>
        </w:tc>
        <w:tc>
          <w:tcPr>
            <w:tcW w:type="dxa" w:w="2376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17.1%</w:t>
            </w:r>
          </w:p>
        </w:tc>
        <w:tc>
          <w:tcPr>
            <w:tcW w:type="dxa" w:w="4752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Explicit posterior rejection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D7 total / D6 evaluable</w:t>
            </w:r>
          </w:p>
        </w:tc>
        <w:tc>
          <w:tcPr>
            <w:tcW w:type="dxa" w:w="2376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0 / 0</w:t>
            </w:r>
          </w:p>
        </w:tc>
        <w:tc>
          <w:tcPr>
            <w:tcW w:type="dxa" w:w="4752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Correctly blocked</w:t>
            </w:r>
          </w:p>
        </w:tc>
      </w:tr>
    </w:tbl>
    <w:p>
      <w:pPr>
        <w:spacing w:after="40"/>
      </w:pPr>
    </w:p>
    <w:p>
      <w:pPr>
        <w:pStyle w:val="Heading1"/>
      </w:pPr>
      <w:r>
        <w:t>4. Support and applicability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440"/>
        <w:gridCol w:w="1584"/>
        <w:gridCol w:w="6336"/>
      </w:tblGrid>
      <w:tr>
        <w:trPr>
          <w:tblHeader w:val="true"/>
          <w:cantSplit/>
        </w:trPr>
        <w:tc>
          <w:tcPr>
            <w:tcW w:type="dxa" w:w="1440"/>
            <w:vAlign w:val="center"/>
            <w:shd w:fill="EAF3F5"/>
          </w:tcPr>
          <w:p>
            <w:r>
              <w:rPr>
                <w:rFonts w:ascii="Arial" w:hAnsi="Arial" w:eastAsia="Microsoft YaHei"/>
                <w:b/>
                <w:color w:val="25282A"/>
                <w:sz w:val="18"/>
              </w:rPr>
              <w:t>Tier</w:t>
            </w:r>
          </w:p>
        </w:tc>
        <w:tc>
          <w:tcPr>
            <w:tcW w:type="dxa" w:w="1584"/>
            <w:vAlign w:val="center"/>
            <w:shd w:fill="EAF3F5"/>
          </w:tcPr>
          <w:p>
            <w:r>
              <w:rPr>
                <w:rFonts w:ascii="Arial" w:hAnsi="Arial" w:eastAsia="Microsoft YaHei"/>
                <w:b/>
                <w:color w:val="25282A"/>
                <w:sz w:val="18"/>
              </w:rPr>
              <w:t>Templates</w:t>
            </w:r>
          </w:p>
        </w:tc>
        <w:tc>
          <w:tcPr>
            <w:tcW w:type="dxa" w:w="6336"/>
            <w:vAlign w:val="center"/>
            <w:shd w:fill="EAF3F5"/>
          </w:tcPr>
          <w:p>
            <w:r>
              <w:rPr>
                <w:rFonts w:ascii="Arial" w:hAnsi="Arial" w:eastAsia="Microsoft YaHei"/>
                <w:b/>
                <w:color w:val="25282A"/>
                <w:sz w:val="18"/>
              </w:rPr>
              <w:t>Policy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L1</w:t>
            </w:r>
          </w:p>
        </w:tc>
        <w:tc>
          <w:tcPr>
            <w:tcW w:type="dxa" w:w="1584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53</w:t>
            </w:r>
          </w:p>
        </w:tc>
        <w:tc>
          <w:tcPr>
            <w:tcW w:type="dxa" w:w="6336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Gating eligible only after all contracts pass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L2</w:t>
            </w:r>
          </w:p>
        </w:tc>
        <w:tc>
          <w:tcPr>
            <w:tcW w:type="dxa" w:w="1584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3</w:t>
            </w:r>
          </w:p>
        </w:tc>
        <w:tc>
          <w:tcPr>
            <w:tcW w:type="dxa" w:w="6336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Gating eligible only after all contracts pass</w:t>
            </w:r>
          </w:p>
        </w:tc>
      </w:tr>
    </w:tbl>
    <w:p>
      <w:pPr>
        <w:spacing w:after="40"/>
      </w:pPr>
    </w:p>
    <w:p>
      <w:r>
        <w:rPr>
          <w:rFonts w:ascii="Arial" w:hAnsi="Arial" w:eastAsia="Microsoft YaHei"/>
          <w:color w:val="25282A"/>
          <w:sz w:val="21"/>
        </w:rPr>
        <w:t>ORP is forced to L1 diagonal robust Z with alpha=1.00 and cannot auto-promote. Missing, OOD and limited evidence is represented by status and NaN, never by a fabricated low production score.</w:t>
      </w:r>
    </w:p>
    <w:p>
      <w:r>
        <w:br w:type="page"/>
      </w:r>
    </w:p>
    <w:p>
      <w:pPr>
        <w:pStyle w:val="Heading1"/>
      </w:pPr>
      <w:r>
        <w:t>5. Validation and sensitivity</w:t>
      </w:r>
    </w:p>
    <w:tbl>
      <w:tblPr>
        <w:tblStyle w:val="TableGrid"/>
        <w:tblW w:type="dxa" w:w="7992"/>
        <w:jc w:val="center"/>
        <w:tblLayout w:type="fixed"/>
        <w:tblLook w:firstColumn="1" w:firstRow="1" w:lastColumn="0" w:lastRow="0" w:noHBand="0" w:noVBand="1" w:val="04A0"/>
      </w:tblPr>
      <w:tblGrid>
        <w:gridCol w:w="3384"/>
        <w:gridCol w:w="1440"/>
        <w:gridCol w:w="1728"/>
        <w:gridCol w:w="1440"/>
      </w:tblGrid>
      <w:tr>
        <w:trPr>
          <w:tblHeader w:val="true"/>
          <w:cantSplit/>
        </w:trPr>
        <w:tc>
          <w:tcPr>
            <w:tcW w:type="dxa" w:w="3384"/>
            <w:vAlign w:val="center"/>
            <w:shd w:fill="EAF3F5"/>
          </w:tcPr>
          <w:p>
            <w:r>
              <w:rPr>
                <w:rFonts w:ascii="Arial" w:hAnsi="Arial" w:eastAsia="Microsoft YaHei"/>
                <w:b/>
                <w:color w:val="25282A"/>
                <w:sz w:val="18"/>
              </w:rPr>
              <w:t>Criterion</w:t>
            </w:r>
          </w:p>
        </w:tc>
        <w:tc>
          <w:tcPr>
            <w:tcW w:type="dxa" w:w="1440"/>
            <w:vAlign w:val="center"/>
            <w:shd w:fill="EAF3F5"/>
          </w:tcPr>
          <w:p>
            <w:r>
              <w:rPr>
                <w:rFonts w:ascii="Arial" w:hAnsi="Arial" w:eastAsia="Microsoft YaHei"/>
                <w:b/>
                <w:color w:val="25282A"/>
                <w:sz w:val="18"/>
              </w:rPr>
              <w:t>Estimate</w:t>
            </w:r>
          </w:p>
        </w:tc>
        <w:tc>
          <w:tcPr>
            <w:tcW w:type="dxa" w:w="1728"/>
            <w:vAlign w:val="center"/>
            <w:shd w:fill="EAF3F5"/>
          </w:tcPr>
          <w:p>
            <w:r>
              <w:rPr>
                <w:rFonts w:ascii="Arial" w:hAnsi="Arial" w:eastAsia="Microsoft YaHei"/>
                <w:b/>
                <w:color w:val="25282A"/>
                <w:sz w:val="18"/>
              </w:rPr>
              <w:t>Target</w:t>
            </w:r>
          </w:p>
        </w:tc>
        <w:tc>
          <w:tcPr>
            <w:tcW w:type="dxa" w:w="1440"/>
            <w:vAlign w:val="center"/>
            <w:shd w:fill="EAF3F5"/>
          </w:tcPr>
          <w:p>
            <w:r>
              <w:rPr>
                <w:rFonts w:ascii="Arial" w:hAnsi="Arial" w:eastAsia="Microsoft YaHei"/>
                <w:b/>
                <w:color w:val="25282A"/>
                <w:sz w:val="18"/>
              </w:rPr>
              <w:t>Result</w:t>
            </w:r>
          </w:p>
        </w:tc>
      </w:tr>
      <w:tr>
        <w:trPr>
          <w:cantSplit/>
        </w:trPr>
        <w:tc>
          <w:tcPr>
            <w:tcW w:type="dxa" w:w="3384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swap_AUROC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0.917</w:t>
            </w:r>
          </w:p>
        </w:tc>
        <w:tc>
          <w:tcPr>
            <w:tcW w:type="dxa" w:w="1728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&gt;= 0.90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PASS</w:t>
            </w:r>
          </w:p>
        </w:tc>
      </w:tr>
      <w:tr>
        <w:trPr>
          <w:cantSplit/>
        </w:trPr>
        <w:tc>
          <w:tcPr>
            <w:tcW w:type="dxa" w:w="3384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swap_AUPRC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0.928</w:t>
            </w:r>
          </w:p>
        </w:tc>
        <w:tc>
          <w:tcPr>
            <w:tcW w:type="dxa" w:w="1728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&gt;= 0.80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PASS</w:t>
            </w:r>
          </w:p>
        </w:tc>
      </w:tr>
      <w:tr>
        <w:trPr>
          <w:cantSplit/>
        </w:trPr>
        <w:tc>
          <w:tcPr>
            <w:tcW w:type="dxa" w:w="3384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swap_Top1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0.750</w:t>
            </w:r>
          </w:p>
        </w:tc>
        <w:tc>
          <w:tcPr>
            <w:tcW w:type="dxa" w:w="1728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&gt;= 0.80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FAIL</w:t>
            </w:r>
          </w:p>
        </w:tc>
      </w:tr>
      <w:tr>
        <w:trPr>
          <w:cantSplit/>
        </w:trPr>
        <w:tc>
          <w:tcPr>
            <w:tcW w:type="dxa" w:w="3384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common_mode_FAR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0.061</w:t>
            </w:r>
          </w:p>
        </w:tc>
        <w:tc>
          <w:tcPr>
            <w:tcW w:type="dxa" w:w="1728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&lt;= 0.10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PASS</w:t>
            </w:r>
          </w:p>
        </w:tc>
      </w:tr>
      <w:tr>
        <w:trPr>
          <w:cantSplit/>
        </w:trPr>
        <w:tc>
          <w:tcPr>
            <w:tcW w:type="dxa" w:w="3384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zone_coherent_FAR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0.039</w:t>
            </w:r>
          </w:p>
        </w:tc>
        <w:tc>
          <w:tcPr>
            <w:tcW w:type="dxa" w:w="1728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&lt;= 0.10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PASS</w:t>
            </w:r>
          </w:p>
        </w:tc>
      </w:tr>
      <w:tr>
        <w:trPr>
          <w:cantSplit/>
        </w:trPr>
        <w:tc>
          <w:tcPr>
            <w:tcW w:type="dxa" w:w="3384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switch_chatter_rate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0.000</w:t>
            </w:r>
          </w:p>
        </w:tc>
        <w:tc>
          <w:tcPr>
            <w:tcW w:type="dxa" w:w="1728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&lt;= 0.05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PASS</w:t>
            </w:r>
          </w:p>
        </w:tc>
      </w:tr>
    </w:tbl>
    <w:p>
      <w:pPr>
        <w:spacing w:after="40"/>
      </w:pPr>
    </w:p>
    <w:p>
      <w:r>
        <w:rPr>
          <w:rFonts w:ascii="Arial" w:hAnsi="Arial" w:eastAsia="Microsoft YaHei"/>
          <w:color w:val="25282A"/>
          <w:sz w:val="21"/>
        </w:rPr>
        <w:t>Same-line position swaps are scored with frozen templates. Freeze, temporal ramps, common/zone-coherent changes, DO4 floor behavior and dropout are orthogonality controls. Detection and FAR pass, but node localization remains below release quality.</w:t>
      </w:r>
    </w:p>
    <w:tbl>
      <w:tblPr>
        <w:tblStyle w:val="TableGrid"/>
        <w:tblW w:type="dxa" w:w="7920"/>
        <w:jc w:val="center"/>
        <w:tblLayout w:type="fixed"/>
        <w:tblLook w:firstColumn="1" w:firstRow="1" w:lastColumn="0" w:lastRow="0" w:noHBand="0" w:noVBand="1" w:val="04A0"/>
      </w:tblPr>
      <w:tblGrid>
        <w:gridCol w:w="2880"/>
        <w:gridCol w:w="1440"/>
        <w:gridCol w:w="2160"/>
        <w:gridCol w:w="1440"/>
      </w:tblGrid>
      <w:tr>
        <w:trPr>
          <w:tblHeader w:val="true"/>
          <w:cantSplit/>
        </w:trPr>
        <w:tc>
          <w:tcPr>
            <w:tcW w:type="dxa" w:w="2880"/>
            <w:vAlign w:val="center"/>
            <w:shd w:fill="EAF3F5"/>
          </w:tcPr>
          <w:p>
            <w:r>
              <w:rPr>
                <w:rFonts w:ascii="Arial" w:hAnsi="Arial" w:eastAsia="Microsoft YaHei"/>
                <w:b/>
                <w:color w:val="25282A"/>
                <w:sz w:val="18"/>
              </w:rPr>
              <w:t>Track metric</w:t>
            </w:r>
          </w:p>
        </w:tc>
        <w:tc>
          <w:tcPr>
            <w:tcW w:type="dxa" w:w="1440"/>
            <w:vAlign w:val="center"/>
            <w:shd w:fill="EAF3F5"/>
          </w:tcPr>
          <w:p>
            <w:r>
              <w:rPr>
                <w:rFonts w:ascii="Arial" w:hAnsi="Arial" w:eastAsia="Microsoft YaHei"/>
                <w:b/>
                <w:color w:val="25282A"/>
                <w:sz w:val="18"/>
              </w:rPr>
              <w:t>Estimate</w:t>
            </w:r>
          </w:p>
        </w:tc>
        <w:tc>
          <w:tcPr>
            <w:tcW w:type="dxa" w:w="2160"/>
            <w:vAlign w:val="center"/>
            <w:shd w:fill="EAF3F5"/>
          </w:tcPr>
          <w:p>
            <w:r>
              <w:rPr>
                <w:rFonts w:ascii="Arial" w:hAnsi="Arial" w:eastAsia="Microsoft YaHei"/>
                <w:b/>
                <w:color w:val="25282A"/>
                <w:sz w:val="18"/>
              </w:rPr>
              <w:t>Target</w:t>
            </w:r>
          </w:p>
        </w:tc>
        <w:tc>
          <w:tcPr>
            <w:tcW w:type="dxa" w:w="1440"/>
            <w:vAlign w:val="center"/>
            <w:shd w:fill="EAF3F5"/>
          </w:tcPr>
          <w:p>
            <w:r>
              <w:rPr>
                <w:rFonts w:ascii="Arial" w:hAnsi="Arial" w:eastAsia="Microsoft YaHei"/>
                <w:b/>
                <w:color w:val="25282A"/>
                <w:sz w:val="18"/>
              </w:rPr>
              <w:t>Result</w:t>
            </w:r>
          </w:p>
        </w:tc>
      </w:tr>
      <w:tr>
        <w:trPr>
          <w:cantSplit/>
        </w:trPr>
        <w:tc>
          <w:tcPr>
            <w:tcW w:type="dxa" w:w="288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IE_track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0.039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&lt;=0.20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PASS</w:t>
            </w:r>
          </w:p>
        </w:tc>
      </w:tr>
      <w:tr>
        <w:trPr>
          <w:cantSplit/>
        </w:trPr>
        <w:tc>
          <w:tcPr>
            <w:tcW w:type="dxa" w:w="288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event_jaccard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0.851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&gt;=0.80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PASS</w:t>
            </w:r>
          </w:p>
        </w:tc>
      </w:tr>
      <w:tr>
        <w:trPr>
          <w:cantSplit/>
        </w:trPr>
        <w:tc>
          <w:tcPr>
            <w:tcW w:type="dxa" w:w="288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culprit_spearman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0.978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&gt;=0.80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PASS</w:t>
            </w:r>
          </w:p>
        </w:tc>
      </w:tr>
    </w:tbl>
    <w:p>
      <w:pPr>
        <w:spacing w:after="40"/>
      </w:pPr>
    </w:p>
    <w:p>
      <w:pPr>
        <w:pStyle w:val="Heading1"/>
      </w:pPr>
      <w:r>
        <w:t>6. Topology and D6 interface</w:t>
      </w:r>
    </w:p>
    <w:p>
      <w:r>
        <w:rPr>
          <w:rFonts w:ascii="Arial" w:hAnsi="Arial" w:eastAsia="Microsoft YaHei"/>
          <w:color w:val="25282A"/>
          <w:sz w:val="21"/>
        </w:rPr>
        <w:t>The declared registry contains 14 nodes, 10 longitudinal edges and seven peer pairs. 5 finite candidate mappings exceed the report-only review threshold. They cannot mutate production topology or activate Veto.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Topology drawing, coordinates, asset IDs, serial numbers and two-person approval remain pending.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D7-to-D6 zone consensus is present but every row is non-evaluable for final arbitration.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D6 protected columns remain unchanged because no D6 write path exists.</w:t>
      </w:r>
    </w:p>
    <w:p>
      <w:r>
        <w:br w:type="page"/>
      </w:r>
    </w:p>
    <w:p>
      <w:pPr>
        <w:pStyle w:val="Heading1"/>
      </w:pPr>
      <w:r>
        <w:t>7. SCI figure review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23560" cy="2036749"/>
            <wp:docPr id="1" name="Picture 1" descr="Figure D7-1 | Declared topology, applicability and release boundary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D7_1_framework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2036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eastAsia="Microsoft YaHei"/>
          <w:i/>
          <w:color w:val="5F6B73"/>
          <w:sz w:val="17"/>
        </w:rPr>
        <w:t>Figure D7-1 | Declared topology, applicability and release boundary.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23560" cy="4010055"/>
            <wp:docPr id="2" name="Picture 2" descr="Figure D7-2 | Spatiotemporal D7 structure and effective suppor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D7_2_spatiotempor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40100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eastAsia="Microsoft YaHei"/>
          <w:i/>
          <w:color w:val="5F6B73"/>
          <w:sz w:val="17"/>
        </w:rPr>
        <w:t>Figure D7-2 | Spatiotemporal D7 structure and effective support.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23560" cy="3932264"/>
            <wp:docPr id="3" name="Picture 3" descr="Figure D7-3 | Evidence decomposition, node influence and zone consensu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D7_3_evidenc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3932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eastAsia="Microsoft YaHei"/>
          <w:i/>
          <w:color w:val="5F6B73"/>
          <w:sz w:val="17"/>
        </w:rPr>
        <w:t>Figure D7-3 | Evidence decomposition, node influence and zone consensus.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23560" cy="4239772"/>
            <wp:docPr id="4" name="Picture 4" descr="Figure D7-4 | Validation and Local-Sensitivity invarianc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D7_4_valida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42397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eastAsia="Microsoft YaHei"/>
          <w:i/>
          <w:color w:val="5F6B73"/>
          <w:sz w:val="17"/>
        </w:rPr>
        <w:t>Figure D7-4 | Validation and Local-Sensitivity invariance.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23560" cy="4316649"/>
            <wp:docPr id="5" name="Picture 5" descr="Figure D7-5 | Support, regime, topology and release governanc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D7_5_governanc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43166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eastAsia="Microsoft YaHei"/>
          <w:i/>
          <w:color w:val="5F6B73"/>
          <w:sz w:val="17"/>
        </w:rPr>
        <w:t>Figure D7-5 | Support, regime, topology and release governance.</w:t>
      </w:r>
    </w:p>
    <w:p>
      <w:pPr>
        <w:pStyle w:val="Heading1"/>
      </w:pPr>
      <w:r>
        <w:t>8. Critical limitations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Field topology and asset identity are not verified or dual-approved.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Effective support is inadequate for production gating in 53 of 56 templates.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Swap Top-1 is 0.75, below the 0.80 target.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The 499 candidate events lack external truth and cannot be called confirmed faults.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Regime transition FAR and topology candidate recall require external truth.</w:t>
      </w:r>
    </w:p>
    <w:p>
      <w:pPr>
        <w:pStyle w:val="Heading1"/>
      </w:pPr>
      <w:r>
        <w:t>9. Release decision</w:t>
      </w:r>
    </w:p>
    <w:p>
      <w:r>
        <w:rPr>
          <w:rFonts w:ascii="Arial" w:hAnsi="Arial" w:eastAsia="Microsoft YaHei"/>
          <w:color w:val="25282A"/>
          <w:sz w:val="21"/>
        </w:rPr>
        <w:t>The branch is suitable for expert review and merge as a research implementation with explicit production gates. It is not suitable for activation in WW-DQS/DQR arbitration.</w:t>
      </w:r>
    </w:p>
    <w:p>
      <w:pPr>
        <w:pStyle w:val="ListNumber"/>
        <w:spacing w:after="80"/>
      </w:pPr>
      <w:r>
        <w:rPr>
          <w:rFonts w:ascii="Arial" w:hAnsi="Arial" w:eastAsia="Microsoft YaHei"/>
          <w:color w:val="25282A"/>
          <w:sz w:val="20"/>
        </w:rPr>
        <w:t>Complete field mapping and obtain two independent approvals.</w:t>
      </w:r>
    </w:p>
    <w:p>
      <w:pPr>
        <w:pStyle w:val="ListNumber"/>
        <w:spacing w:after="80"/>
      </w:pPr>
      <w:r>
        <w:rPr>
          <w:rFonts w:ascii="Arial" w:hAnsi="Arial" w:eastAsia="Microsoft YaHei"/>
          <w:color w:val="25282A"/>
          <w:sz w:val="20"/>
        </w:rPr>
        <w:t>Regenerate all topology-bound templates and hashes.</w:t>
      </w:r>
    </w:p>
    <w:p>
      <w:pPr>
        <w:pStyle w:val="ListNumber"/>
        <w:spacing w:after="80"/>
      </w:pPr>
      <w:r>
        <w:rPr>
          <w:rFonts w:ascii="Arial" w:hAnsi="Arial" w:eastAsia="Microsoft YaHei"/>
          <w:color w:val="25282A"/>
          <w:sz w:val="20"/>
        </w:rPr>
        <w:t>Accumulate qualified multi-season effective blocks and pass support exit criteria.</w:t>
      </w:r>
    </w:p>
    <w:p>
      <w:pPr>
        <w:pStyle w:val="ListNumber"/>
        <w:spacing w:after="80"/>
      </w:pPr>
      <w:r>
        <w:rPr>
          <w:rFonts w:ascii="Arial" w:hAnsi="Arial" w:eastAsia="Microsoft YaHei"/>
          <w:color w:val="25282A"/>
          <w:sz w:val="20"/>
        </w:rPr>
        <w:t>Raise blocked-holdout Top-1 to at least 0.80 without weakening negative-control FAR.</w:t>
      </w:r>
    </w:p>
    <w:p>
      <w:pPr>
        <w:pStyle w:val="ListNumber"/>
        <w:spacing w:after="80"/>
      </w:pPr>
      <w:r>
        <w:rPr>
          <w:rFonts w:ascii="Arial" w:hAnsi="Arial" w:eastAsia="Microsoft YaHei"/>
          <w:color w:val="25282A"/>
          <w:sz w:val="20"/>
        </w:rPr>
        <w:t>Add prospective field-confirmed cases before activating D7_total or D6 final arbitration.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81" w:bottom="1037" w:left="118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Microsoft YaHei"/>
        <w:color w:val="5F6B73"/>
        <w:sz w:val="16"/>
      </w:rPr>
      <w:t>Generated 2026-07-22 10:29 CST | Research review only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Microsoft YaHei"/>
        <w:color w:val="5F6B73"/>
        <w:sz w:val="16"/>
      </w:rPr>
      <w:t>D7 v2.1 | Project 1 Data Quality Assessment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8" w:lineRule="auto"/>
    </w:pPr>
    <w:rPr>
      <w:rFonts w:ascii="Arial" w:hAnsi="Arial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168AA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168AA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Arial" w:hAnsi="Arial" w:eastAsia="Microsoft YaHei"/>
      <w:b/>
      <w:bCs/>
      <w:color w:val="1F4D7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