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§1.1 时间底座与非平稳特征解析 — 专家级结果分析报告</w:t>
      </w:r>
    </w:p>
    <w:p>
      <w:pPr>
        <w:ind w:left="432"/>
      </w:pPr>
      <w:r>
        <w:rPr>
          <w:i/>
          <w:color w:val="444444"/>
        </w:rPr>
        <w:t>数据期:分钟级 2025-08-01 → 2026-04-13(1 min,每通道 368,238 点,≈256 天);小时级进水 2025-10-01 → 2026-04-19、出水 2025-06-01 → 2026-04-19。</w:t>
      </w:r>
    </w:p>
    <w:p>
      <w:pPr>
        <w:ind w:left="432"/>
      </w:pPr>
      <w:r>
        <w:rPr>
          <w:i/>
          <w:color w:val="444444"/>
        </w:rPr>
        <w:t xml:space="preserve">通道:33 个变量(18 分钟级过程状态 + 15 小时级进出水水质)。全部结果由 </w:t>
      </w:r>
      <w:r>
        <w:rPr>
          <w:rFonts w:ascii="Consolas" w:hAnsi="Consolas" w:eastAsia="Consolas"/>
          <w:i/>
          <w:color w:val="444444"/>
        </w:rPr>
        <w:t>run_pipeline.py</w:t>
      </w:r>
      <w:r>
        <w:rPr>
          <w:i/>
          <w:color w:val="444444"/>
        </w:rPr>
        <w:t xml:space="preserve"> + </w:t>
      </w:r>
      <w:r>
        <w:rPr>
          <w:rFonts w:ascii="Consolas" w:hAnsi="Consolas" w:eastAsia="Consolas"/>
          <w:i/>
          <w:color w:val="444444"/>
        </w:rPr>
        <w:t>validate.py</w:t>
      </w:r>
      <w:r>
        <w:rPr>
          <w:i/>
          <w:color w:val="444444"/>
        </w:rPr>
        <w:t xml:space="preserve"> 自动生成;本报告所引数值均取自 </w:t>
      </w:r>
      <w:r>
        <w:rPr>
          <w:rFonts w:ascii="Consolas" w:hAnsi="Consolas" w:eastAsia="Consolas"/>
          <w:i/>
          <w:color w:val="444444"/>
        </w:rPr>
        <w:t>outputs/tables/</w:t>
      </w:r>
      <w:r>
        <w:rPr>
          <w:i/>
          <w:color w:val="444444"/>
        </w:rPr>
        <w:t xml:space="preserve"> 与 </w:t>
      </w:r>
      <w:r>
        <w:rPr>
          <w:rFonts w:ascii="Consolas" w:hAnsi="Consolas" w:eastAsia="Consolas"/>
          <w:i/>
          <w:color w:val="444444"/>
        </w:rPr>
        <w:t>outputs/reports/validation_report.md</w:t>
      </w:r>
      <w:r>
        <w:rPr>
          <w:i/>
          <w:color w:val="444444"/>
        </w:rPr>
        <w:t>。</w:t>
      </w:r>
    </w:p>
    <w:p>
      <w:pPr>
        <w:ind w:left="432"/>
      </w:pPr>
      <w:r>
        <w:rPr>
          <w:i/>
          <w:color w:val="444444"/>
        </w:rPr>
        <w:t>图片以相对路径嵌入;若在你的编辑器/Word 中无法直接渲染,请按图号在标注的【插图位置】处自行插入对应 PNG。</w:t>
      </w:r>
    </w:p>
    <w:p>
      <w:pPr>
        <w:pStyle w:val="Heading1"/>
      </w:pPr>
      <w:r>
        <w:t>摘要(Executive Summary)</w:t>
      </w:r>
    </w:p>
    <w:p>
      <w:r>
        <w:t>本节把北岸厂多源异构数据统一为</w:t>
      </w:r>
      <w:r>
        <w:rPr>
          <w:b/>
        </w:rPr>
        <w:t>去趋势、去周期、并经 ARMA/GARCH 白化的纯净残差/创新序列</w:t>
      </w:r>
      <w:r>
        <w:t>,作为 §1.2 数据质量评估的合法输入。核心结论:</w:t>
      </w:r>
    </w:p>
    <w:p>
      <w:pPr>
        <w:pStyle w:val="ListNumber"/>
      </w:pPr>
      <w:r>
        <w:rPr>
          <w:b/>
        </w:rPr>
        <w:t>底座可用、异常被"标记而非清洗"</w:t>
      </w:r>
      <w:r>
        <w:t xml:space="preserve">:分钟级缺失率仅 0.3%、小时级 1.16%;同时暴露出 </w:t>
      </w:r>
      <w:r>
        <w:rPr>
          <w:b/>
        </w:rPr>
        <w:t>QR_2 有 15.2% 样本为负流量</w:t>
      </w:r>
      <w:r>
        <w:t>(物理不可能,采集故障)等关键质量问题——这些异常以标识位保留,正是下游评分对象。</w:t>
      </w:r>
    </w:p>
    <w:p>
      <w:pPr>
        <w:pStyle w:val="ListNumber"/>
      </w:pPr>
      <w:r>
        <w:rPr>
          <w:b/>
        </w:rPr>
        <w:t>差异化分解是必要的而非可选的</w:t>
      </w:r>
      <w:r>
        <w:t xml:space="preserve">:进水/出水/曝气 DO 的周期结构截然不同(谐波阶 0–6 自适应),用错策略会使目标周期残差峰比从 6.97 飙到 </w:t>
      </w:r>
      <w:r>
        <w:rPr>
          <w:b/>
        </w:rPr>
        <w:t>90.75(13×)</w:t>
      </w:r>
      <w:r>
        <w:t>。</w:t>
      </w:r>
    </w:p>
    <w:p>
      <w:pPr>
        <w:pStyle w:val="ListNumber"/>
      </w:pPr>
      <w:r>
        <w:rPr>
          <w:b/>
        </w:rPr>
        <w:t>去周期充分</w:t>
      </w:r>
      <w:r>
        <w:t xml:space="preserve">:主周期峰显著性 &lt; 2 的通道由补强前的 9/33 提升到 </w:t>
      </w:r>
      <w:r>
        <w:rPr>
          <w:b/>
        </w:rPr>
        <w:t>27/33</w:t>
      </w:r>
      <w:r>
        <w:t>;未达标的 6 个通道被</w:t>
      </w:r>
      <w:r>
        <w:rPr>
          <w:b/>
        </w:rPr>
        <w:t>显式标注</w:t>
      </w:r>
      <w:r>
        <w:t>而非掩盖。</w:t>
      </w:r>
    </w:p>
    <w:p>
      <w:pPr>
        <w:pStyle w:val="ListNumber"/>
      </w:pPr>
      <w:r>
        <w:rPr>
          <w:b/>
        </w:rPr>
        <w:t>白化有效且诚实</w:t>
      </w:r>
      <w:r>
        <w:t>:真正通过接受门的 11 个通道,</w:t>
      </w:r>
      <w:r>
        <w:rPr>
          <w:b/>
        </w:rPr>
        <w:t>|ACF(1)| 由 0.882 降到 0.094</w:t>
      </w:r>
      <w:r>
        <w:t xml:space="preserve">、平均 |ACF[1..10]| 由 0.749 降到 0.048;未通过的 22 个通道走 </w:t>
      </w:r>
      <w:r>
        <w:rPr>
          <w:rFonts w:ascii="Consolas" w:hAnsi="Consolas" w:eastAsia="Consolas"/>
        </w:rPr>
        <w:t>robust_z</w:t>
      </w:r>
      <w:r>
        <w:t xml:space="preserve"> 兜底(不输出"伪精确"创新)。</w:t>
      </w:r>
    </w:p>
    <w:p>
      <w:pPr>
        <w:pStyle w:val="ListNumber"/>
      </w:pPr>
      <w:r>
        <w:rPr>
          <w:b/>
        </w:rPr>
        <w:t>下游增益可量化</w:t>
      </w:r>
      <w:r>
        <w:t>:同一注入故障下,</w:t>
      </w:r>
      <w:r>
        <w:rPr>
          <w:b/>
        </w:rPr>
        <w:t>故障可分性 AUC 满足 原始 &lt; 去周期残差 &lt; 白化创新</w:t>
      </w:r>
      <w:r>
        <w:t xml:space="preserve">,且小幅故障下增益最大(DO_1_3 在 1×MAD 幅度:0.48 → 0.61 → </w:t>
      </w:r>
      <w:r>
        <w:rPr>
          <w:b/>
        </w:rPr>
        <w:t>0.94</w:t>
      </w:r>
      <w:r>
        <w:t>)。</w:t>
      </w:r>
    </w:p>
    <w:p>
      <w:pPr>
        <w:pStyle w:val="ListNumber"/>
      </w:pPr>
      <w:r>
        <w:rPr>
          <w:b/>
        </w:rPr>
        <w:t>无未来信息泄漏</w:t>
      </w:r>
      <w:r>
        <w:t>:因果分解与整段分解残差均值偏差 ≈ 0.0001、相关 0.985,证明因果实现可在线复现且不泄漏未来信息。</w:t>
      </w:r>
    </w:p>
    <w:p>
      <w:pPr>
        <w:pStyle w:val="Heading1"/>
      </w:pPr>
      <w:r>
        <w:t>1. 数据底座与质量画像(W1)</w:t>
      </w:r>
    </w:p>
    <w:p>
      <w:pPr>
        <w:ind w:left="432"/>
      </w:pPr>
      <w:r>
        <w:rPr>
          <w:i/>
          <w:color w:val="444444"/>
        </w:rPr>
        <w:t>【插图位置 · 图 1:方法框架示意图】— 建议在此插入手绘/Illustrator 流程图:W1 多源时间底座(1min 主时钟 + 标识位)→ W2 差异化双轨去周期 → W3 ARMA/GARCH 快慢轨白化 → 残差/创新数据集。本报告未自动生成该示意图。</w:t>
      </w:r>
    </w:p>
    <w:p>
      <w:r>
        <w:rPr>
          <w:b/>
        </w:rPr>
        <w:t>图 2. 数据可用性热图(变量 × 时间,按最严标识位着色)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38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_availability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图2 数据可用性热图</w:t>
      </w:r>
    </w:p>
    <w:p>
      <w:r>
        <w:rPr>
          <w:b/>
        </w:rPr>
        <w:t>解读。</w:t>
      </w:r>
      <w:r>
        <w:t xml:space="preserve"> 热图把 33 个变量在时间轴上的"原始/插值/保持/越界/离群/截尾"状态一览呈现,直接反映底座质量与多速率结构:</w:t>
      </w:r>
    </w:p>
    <w:p>
      <w:pPr>
        <w:pStyle w:val="ListBullet"/>
      </w:pPr>
      <w:r>
        <w:rPr>
          <w:b/>
        </w:rPr>
        <w:t>覆盖与缺失</w:t>
      </w:r>
      <w:r>
        <w:t xml:space="preserve">:分钟级整体缺失率仅 </w:t>
      </w:r>
      <w:r>
        <w:rPr>
          <w:b/>
        </w:rPr>
        <w:t>0.3%</w:t>
      </w:r>
      <w:r>
        <w:t xml:space="preserve">、小时级 </w:t>
      </w:r>
      <w:r>
        <w:rPr>
          <w:b/>
        </w:rPr>
        <w:t>1.16%</w:t>
      </w:r>
      <w:r>
        <w:t>,数据完整度高;少数长缺口两侧 24h 被标为过渡区(降权,不参与拟合)。</w:t>
      </w:r>
    </w:p>
    <w:p>
      <w:pPr>
        <w:pStyle w:val="ListBullet"/>
      </w:pPr>
      <w:r>
        <w:rPr>
          <w:b/>
        </w:rPr>
        <w:t>多速率"保持"带</w:t>
      </w:r>
      <w:r>
        <w:t>:小时级进出水在 1min 主时钟上以阶梯前向保持(hold_flag),热图上呈规则横纹——这是</w:t>
      </w:r>
      <w:r>
        <w:rPr>
          <w:b/>
        </w:rPr>
        <w:t>多速率原生分解后对齐</w:t>
      </w:r>
      <w:r>
        <w:t>的可视证据,而非在 1min 网格上虚构高频。</w:t>
      </w:r>
    </w:p>
    <w:p>
      <w:pPr>
        <w:pStyle w:val="ListBullet"/>
      </w:pPr>
      <w:r>
        <w:rPr>
          <w:b/>
        </w:rPr>
        <w:t>异常以标识位保留</w:t>
      </w:r>
      <w:r>
        <w:t>:</w:t>
      </w:r>
      <w:r>
        <w:rPr>
          <w:rFonts w:ascii="Consolas" w:hAnsi="Consolas" w:eastAsia="Consolas"/>
        </w:rPr>
        <w:t>DO_1_4</w:t>
      </w:r>
      <w:r>
        <w:t xml:space="preserve"> 的 IQR 离群占比高达 </w:t>
      </w:r>
      <w:r>
        <w:rPr>
          <w:b/>
        </w:rPr>
        <w:t>10.93%</w:t>
      </w:r>
      <w:r>
        <w:t>,但并未被删除——这正是后续 §1.2 的评分对象(缺氧后区近零地板,统计上"离群"实为工艺真值,见 §3 案例)。</w:t>
      </w:r>
    </w:p>
    <w:p>
      <w:r>
        <w:t>跨变量物理一致性诊断进一步给出</w:t>
      </w:r>
      <w:r>
        <w:rPr>
          <w:b/>
        </w:rPr>
        <w:t>可直接作为质量证据</w:t>
      </w:r>
      <w:r>
        <w:t>的发现: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诊断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t>QR_2 负流量占比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15.21%</w:t>
            </w:r>
          </w:p>
        </w:tc>
        <w:tc>
          <w:tcPr>
            <w:tcW w:type="dxa" w:w="2880"/>
          </w:tcPr>
          <w:p>
            <w:r/>
            <w:r>
              <w:t>物理不可能,系采集/零漂故障(QR_1 3.13%)</w:t>
            </w:r>
          </w:p>
        </w:tc>
      </w:tr>
      <w:tr>
        <w:tc>
          <w:tcPr>
            <w:tcW w:type="dxa" w:w="2880"/>
          </w:tcPr>
          <w:p>
            <w:r/>
            <w:r>
              <w:t>inf_NH₄ 负值占比</w:t>
            </w:r>
          </w:p>
        </w:tc>
        <w:tc>
          <w:tcPr>
            <w:tcW w:type="dxa" w:w="2880"/>
          </w:tcPr>
          <w:p>
            <w:r/>
            <w:r>
              <w:t>2.23%</w:t>
            </w:r>
          </w:p>
        </w:tc>
        <w:tc>
          <w:tcPr>
            <w:tcW w:type="dxa" w:w="2880"/>
          </w:tcPr>
          <w:p>
            <w:r/>
            <w:r>
              <w:t>进水浓度负值=采集误差</w:t>
            </w:r>
          </w:p>
        </w:tc>
      </w:tr>
      <w:tr>
        <w:tc>
          <w:tcPr>
            <w:tcW w:type="dxa" w:w="2880"/>
          </w:tcPr>
          <w:p>
            <w:r/>
            <w:r>
              <w:t>进→出水 TN 守恒</w:t>
            </w:r>
          </w:p>
        </w:tc>
        <w:tc>
          <w:tcPr>
            <w:tcW w:type="dxa" w:w="2880"/>
          </w:tcPr>
          <w:p>
            <w:r/>
            <w:r>
              <w:t xml:space="preserve">平均去除率 </w:t>
            </w:r>
            <w:r>
              <w:rPr>
                <w:b/>
              </w:rPr>
              <w:t>89.5%</w:t>
            </w:r>
            <w:r>
              <w:t>,196 天</w:t>
            </w:r>
            <w:r>
              <w:rPr>
                <w:b/>
              </w:rPr>
              <w:t>无一天为负</w:t>
            </w:r>
          </w:p>
        </w:tc>
        <w:tc>
          <w:tcPr>
            <w:tcW w:type="dxa" w:w="2880"/>
          </w:tcPr>
          <w:p>
            <w:r/>
            <w:r>
              <w:t>低频氮平衡锚自洽,无"出水高于进水"的悖论</w:t>
            </w:r>
          </w:p>
        </w:tc>
      </w:tr>
      <w:tr>
        <w:tc>
          <w:tcPr>
            <w:tcW w:type="dxa" w:w="2880"/>
          </w:tcPr>
          <w:p>
            <w:r/>
            <w:r>
              <w:t>进→出水 COD 互相关</w:t>
            </w:r>
          </w:p>
        </w:tc>
        <w:tc>
          <w:tcPr>
            <w:tcW w:type="dxa" w:w="2880"/>
          </w:tcPr>
          <w:p>
            <w:r/>
            <w:r>
              <w:t xml:space="preserve">最大滞后 </w:t>
            </w:r>
            <w:r>
              <w:rPr>
                <w:b/>
              </w:rPr>
              <w:t>1 天</w:t>
            </w:r>
            <w:r>
              <w:t>(r=0.56)</w:t>
            </w:r>
          </w:p>
        </w:tc>
        <w:tc>
          <w:tcPr>
            <w:tcW w:type="dxa" w:w="2880"/>
          </w:tcPr>
          <w:p>
            <w:r/>
            <w:r>
              <w:t>与水力停留时间(HRT)一致,跨源时序对齐合理</w:t>
            </w:r>
          </w:p>
        </w:tc>
      </w:tr>
    </w:tbl>
    <w:p/>
    <w:p>
      <w:pPr>
        <w:ind w:left="432"/>
      </w:pPr>
      <w:r>
        <w:rPr>
          <w:b/>
          <w:i/>
          <w:color w:val="444444"/>
        </w:rPr>
        <w:t>小结</w:t>
      </w:r>
      <w:r>
        <w:rPr>
          <w:i/>
          <w:color w:val="444444"/>
        </w:rPr>
        <w:t>:底座完整度高,且在"不清洗"前提下把关键采集故障(负流量)、工艺型离群(DO_4)、跨源时序(HRT 滞后)全部显式保留为可评分证据。</w:t>
      </w:r>
    </w:p>
    <w:p>
      <w:pPr>
        <w:pStyle w:val="Heading1"/>
      </w:pPr>
      <w:r>
        <w:t>2. 差异化分解的必要性:周期结构差异(W2)</w:t>
      </w:r>
    </w:p>
    <w:p>
      <w:r>
        <w:rPr>
          <w:b/>
        </w:rPr>
        <w:t>图 3. 三类数据周期谱对比(进水 COD / 出水 COD / 好氧 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6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_spectru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图3 周期谱对比</w:t>
      </w:r>
    </w:p>
    <w:p>
      <w:r>
        <w:rPr>
          <w:b/>
        </w:rPr>
        <w:t>解读。</w:t>
      </w:r>
      <w:r>
        <w:t xml:space="preserve"> 这是"为什么必须差异化分解"的</w:t>
      </w:r>
      <w:r>
        <w:rPr>
          <w:b/>
        </w:rPr>
        <w:t>核心动机图</w:t>
      </w:r>
      <w:r>
        <w:t>。三类信号在频域上的周期结构显著不同:</w:t>
      </w:r>
    </w:p>
    <w:p>
      <w:pPr>
        <w:pStyle w:val="ListBullet"/>
      </w:pPr>
      <w:r>
        <w:rPr>
          <w:b/>
        </w:rPr>
        <w:t>进水</w:t>
      </w:r>
      <w:r>
        <w:t>:24h(日)+ 168h(周)双峰突出——受居民作息/工业排放的强外生节律驱动,故配高阶谐波(自适应选阶均值 1.86,Q 为 2)。</w:t>
      </w:r>
    </w:p>
    <w:p>
      <w:pPr>
        <w:pStyle w:val="ListBullet"/>
      </w:pPr>
      <w:r>
        <w:rPr>
          <w:b/>
        </w:rPr>
        <w:t>出水</w:t>
      </w:r>
      <w:r>
        <w:t>:日周期被水力停留与生化缓冲</w:t>
      </w:r>
      <w:r>
        <w:rPr>
          <w:b/>
        </w:rPr>
        <w:t>强烈阻尼</w:t>
      </w:r>
      <w:r>
        <w:t>,谱上日峰微弱,趋势/季节主导——故采用 STL 低阶(0–2,均值 1.14)+ 近检测限左截尾稳健分解。</w:t>
      </w:r>
    </w:p>
    <w:p>
      <w:pPr>
        <w:pStyle w:val="ListBullet"/>
      </w:pPr>
      <w:r>
        <w:rPr>
          <w:b/>
        </w:rPr>
        <w:t>好氧 DO</w:t>
      </w:r>
      <w:r>
        <w:t>:呈强日周期 + 12h 谐波(曝气控制回路的方波型节律),需高阶谐波(均值 4.0,上限 5–6)叠加 STL 吃掉非正弦残留。</w:t>
      </w:r>
    </w:p>
    <w:p>
      <w:r>
        <w:t>按工艺组自适应选出的谐波阶数印证了这种差异: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自适应谐波阶(min–max,均值)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</w:tcPr>
          <w:p>
            <w:r/>
            <w:r>
              <w:t>好氧 DO</w:t>
            </w:r>
          </w:p>
        </w:tc>
        <w:tc>
          <w:tcPr>
            <w:tcW w:type="dxa" w:w="2880"/>
          </w:tcPr>
          <w:p>
            <w:r/>
            <w:r>
              <w:t>3–5(4.0)</w:t>
            </w:r>
          </w:p>
        </w:tc>
        <w:tc>
          <w:tcPr>
            <w:tcW w:type="dxa" w:w="2880"/>
          </w:tcPr>
          <w:p>
            <w:r/>
            <w:r>
              <w:t>强日+12h 周期</w:t>
            </w:r>
          </w:p>
        </w:tc>
      </w:tr>
      <w:tr>
        <w:tc>
          <w:tcPr>
            <w:tcW w:type="dxa" w:w="2880"/>
          </w:tcPr>
          <w:p>
            <w:r/>
            <w:r>
              <w:t>缺氧 ORP</w:t>
            </w:r>
          </w:p>
        </w:tc>
        <w:tc>
          <w:tcPr>
            <w:tcW w:type="dxa" w:w="2880"/>
          </w:tcPr>
          <w:p>
            <w:r/>
            <w:r>
              <w:t>2–5(3.5)</w:t>
            </w:r>
          </w:p>
        </w:tc>
        <w:tc>
          <w:tcPr>
            <w:tcW w:type="dxa" w:w="2880"/>
          </w:tcPr>
          <w:p>
            <w:r/>
            <w:r>
              <w:t>弱日周期+regime</w:t>
            </w:r>
          </w:p>
        </w:tc>
      </w:tr>
      <w:tr>
        <w:tc>
          <w:tcPr>
            <w:tcW w:type="dxa" w:w="2880"/>
          </w:tcPr>
          <w:p>
            <w:r/>
            <w:r>
              <w:t>回流 QR/QIR</w:t>
            </w:r>
          </w:p>
        </w:tc>
        <w:tc>
          <w:tcPr>
            <w:tcW w:type="dxa" w:w="2880"/>
          </w:tcPr>
          <w:p>
            <w:r/>
            <w:r>
              <w:t>6(6.0)</w:t>
            </w:r>
          </w:p>
        </w:tc>
        <w:tc>
          <w:tcPr>
            <w:tcW w:type="dxa" w:w="2880"/>
          </w:tcPr>
          <w:p>
            <w:r/>
            <w:r>
              <w:t>日+周双周期驱动</w:t>
            </w:r>
          </w:p>
        </w:tc>
      </w:tr>
      <w:tr>
        <w:tc>
          <w:tcPr>
            <w:tcW w:type="dxa" w:w="2880"/>
          </w:tcPr>
          <w:p>
            <w:r/>
            <w:r>
              <w:t>进水水质</w:t>
            </w:r>
          </w:p>
        </w:tc>
        <w:tc>
          <w:tcPr>
            <w:tcW w:type="dxa" w:w="2880"/>
          </w:tcPr>
          <w:p>
            <w:r/>
            <w:r>
              <w:t>1–3(1.86)</w:t>
            </w:r>
          </w:p>
        </w:tc>
        <w:tc>
          <w:tcPr>
            <w:tcW w:type="dxa" w:w="2880"/>
          </w:tcPr>
          <w:p>
            <w:r/>
            <w:r>
              <w:t>强日+周</w:t>
            </w:r>
          </w:p>
        </w:tc>
      </w:tr>
      <w:tr>
        <w:tc>
          <w:tcPr>
            <w:tcW w:type="dxa" w:w="2880"/>
          </w:tcPr>
          <w:p>
            <w:r/>
            <w:r>
              <w:t>出水水质</w:t>
            </w:r>
          </w:p>
        </w:tc>
        <w:tc>
          <w:tcPr>
            <w:tcW w:type="dxa" w:w="2880"/>
          </w:tcPr>
          <w:p>
            <w:r/>
            <w:r>
              <w:t>0–2(1.14)</w:t>
            </w:r>
          </w:p>
        </w:tc>
        <w:tc>
          <w:tcPr>
            <w:tcW w:type="dxa" w:w="2880"/>
          </w:tcPr>
          <w:p>
            <w:r/>
            <w:r>
              <w:t>日周期被阻尼</w:t>
            </w:r>
          </w:p>
        </w:tc>
      </w:tr>
      <w:tr>
        <w:tc>
          <w:tcPr>
            <w:tcW w:type="dxa" w:w="2880"/>
          </w:tcPr>
          <w:p>
            <w:r/>
            <w:r>
              <w:t>缺氧后 DO</w:t>
            </w:r>
          </w:p>
        </w:tc>
        <w:tc>
          <w:tcPr>
            <w:tcW w:type="dxa" w:w="2880"/>
          </w:tcPr>
          <w:p>
            <w:r/>
            <w:r>
              <w:t>1(1.0)</w:t>
            </w:r>
          </w:p>
        </w:tc>
        <w:tc>
          <w:tcPr>
            <w:tcW w:type="dxa" w:w="2880"/>
          </w:tcPr>
          <w:p>
            <w:r/>
            <w:r>
              <w:t>近零地板,几乎无谐波</w:t>
            </w:r>
          </w:p>
        </w:tc>
      </w:tr>
    </w:tbl>
    <w:p/>
    <w:p>
      <w:r>
        <w:rPr>
          <w:b/>
        </w:rPr>
        <w:t>差异化必要性的反证实验</w:t>
      </w:r>
      <w:r>
        <w:t>(</w:t>
      </w:r>
      <w:r>
        <w:rPr>
          <w:rFonts w:ascii="Consolas" w:hAnsi="Consolas" w:eastAsia="Consolas"/>
        </w:rPr>
        <w:t>val_differentiation_necessity.csv</w:t>
      </w:r>
      <w:r>
        <w:t xml:space="preserve">):把"出水低阶策略"错误地套到好氧 DO_1_3 上,其 24h 残差峰显著性由正确策略的 </w:t>
      </w:r>
      <w:r>
        <w:rPr>
          <w:b/>
        </w:rPr>
        <w:t>6.97 飙升到 90.75(≈13×)</w:t>
      </w:r>
      <w:r>
        <w:t>——错误策略完全无法剥离曝气日周期。反向地,把"分钟级高阶+24h 短带宽 LOESS"套到出水 eff_COD,会</w:t>
      </w:r>
      <w:r>
        <w:rPr>
          <w:b/>
        </w:rPr>
        <w:t>过度平滑</w:t>
      </w:r>
      <w:r>
        <w:t xml:space="preserve">:残差 std 反而由 1.99 降到 1.65、移除量方差比 </w:t>
      </w:r>
      <w:r>
        <w:rPr>
          <w:rFonts w:ascii="Consolas" w:hAnsi="Consolas" w:eastAsia="Consolas"/>
        </w:rPr>
        <w:t>overfit_ratio&gt;1</w:t>
      </w:r>
      <w:r>
        <w:t>,即把慢变真实波动当周期/趋势搬走(过拟合)。</w:t>
      </w:r>
    </w:p>
    <w:p>
      <w:pPr>
        <w:ind w:left="432"/>
      </w:pPr>
      <w:r>
        <w:rPr>
          <w:b/>
          <w:i/>
          <w:color w:val="444444"/>
        </w:rPr>
        <w:t>小结</w:t>
      </w:r>
      <w:r>
        <w:rPr>
          <w:i/>
          <w:color w:val="444444"/>
        </w:rPr>
        <w:t>:分钟级与小时级、进水与出水的周期结构本质不同,统一策略必然在某一端失效;差异化双轨分解是数据本身的要求。</w:t>
      </w:r>
    </w:p>
    <w:p>
      <w:pPr>
        <w:pStyle w:val="Heading1"/>
      </w:pPr>
      <w:r>
        <w:t>3. 四级分解结果(代表性通道)</w:t>
      </w:r>
    </w:p>
    <w:p>
      <w:r>
        <w:rPr>
          <w:b/>
        </w:rPr>
        <w:t>图 4. 好氧 DO_1_3 四级分解(分钟级,10 天窗 2025-10-10~10-20)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83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_stack_DO_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图4 DO_1_3 四级分解</w:t>
      </w:r>
    </w:p>
    <w:p>
      <w:r>
        <w:rPr>
          <w:b/>
        </w:rPr>
        <w:t>图 5. 出水 eff_COD 四级分解(小时级,全程)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62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_stack_eff_C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图5 eff_COD 四级分解</w:t>
      </w:r>
    </w:p>
    <w:p>
      <w:r>
        <w:rPr>
          <w:b/>
        </w:rPr>
        <w:t>解读。</w:t>
      </w:r>
      <w:r>
        <w:t xml:space="preserve"> 两图分别代表两条轨道的分解形态:</w:t>
      </w:r>
    </w:p>
    <w:p>
      <w:pPr>
        <w:pStyle w:val="ListBullet"/>
      </w:pPr>
      <w:r>
        <w:rPr>
          <w:b/>
        </w:rPr>
        <w:t>DO_1_3(图 4)</w:t>
      </w:r>
      <w:r>
        <w:t>:</w:t>
      </w:r>
      <w:r>
        <w:rPr>
          <w:rFonts w:ascii="Consolas" w:hAnsi="Consolas" w:eastAsia="Consolas"/>
        </w:rPr>
        <w:t>Trend m(t)</w:t>
      </w:r>
      <w:r>
        <w:t xml:space="preserve"> 捕捉曝气基线的缓慢迁移;</w:t>
      </w:r>
      <w:r>
        <w:rPr>
          <w:rFonts w:ascii="Consolas" w:hAnsi="Consolas" w:eastAsia="Consolas"/>
        </w:rPr>
        <w:t>Seasonal s(t)</w:t>
      </w:r>
      <w:r>
        <w:t xml:space="preserve"> 清晰呈现 24h+12h 的方波型曝气节律(谐波 J=4 + STL 精修);</w:t>
      </w:r>
      <w:r>
        <w:rPr>
          <w:rFonts w:ascii="Consolas" w:hAnsi="Consolas" w:eastAsia="Consolas"/>
        </w:rPr>
        <w:t>Residual e(t)</w:t>
      </w:r>
      <w:r>
        <w:t xml:space="preserve"> 去周期后保留了 ~10-13 日的尖峰事件;</w:t>
      </w:r>
      <w:r>
        <w:rPr>
          <w:rFonts w:ascii="Consolas" w:hAnsi="Consolas" w:eastAsia="Consolas"/>
        </w:rPr>
        <w:t>Innovation η(t)</w:t>
      </w:r>
      <w:r>
        <w:t>(ARMA 白化后)把该尖峰</w:t>
      </w:r>
      <w:r>
        <w:rPr>
          <w:b/>
        </w:rPr>
        <w:t>突出为一次清晰跳变</w:t>
      </w:r>
      <w:r>
        <w:t>——这正是白化提升故障可分性的直观体现(见 §6)。</w:t>
      </w:r>
    </w:p>
    <w:p>
      <w:pPr>
        <w:pStyle w:val="ListBullet"/>
      </w:pPr>
      <w:r>
        <w:rPr>
          <w:b/>
        </w:rPr>
        <w:t>eff_COD(图 5)</w:t>
      </w:r>
      <w:r>
        <w:t>:趋势/季节主导、日周期被阻尼,残差近似平稳;近检测限点按 Tobit 思路左截尾处理,不污染残差证据。</w:t>
      </w:r>
    </w:p>
    <w:p>
      <w:r>
        <w:rPr>
          <w:b/>
        </w:rPr>
        <w:t>去周期充分性</w:t>
      </w:r>
      <w:r>
        <w:t>(</w:t>
      </w:r>
      <w:r>
        <w:rPr>
          <w:rFonts w:ascii="Consolas" w:hAnsi="Consolas" w:eastAsia="Consolas"/>
        </w:rPr>
        <w:t>decomposition_sufficiency.csv</w:t>
      </w:r>
      <w:r>
        <w:t xml:space="preserve">):主周期峰显著性 &lt; 2 的通道 </w:t>
      </w:r>
      <w:r>
        <w:rPr>
          <w:b/>
        </w:rPr>
        <w:t>27/33</w:t>
      </w:r>
      <w:r>
        <w:t>(补强前仅 9/33),其中 24 个通道触发了因果迭代 STL 重剥(</w:t>
      </w:r>
      <w:r>
        <w:rPr>
          <w:rFonts w:ascii="Consolas" w:hAnsi="Consolas" w:eastAsia="Consolas"/>
        </w:rPr>
        <w:t>stl_iters&gt;0</w:t>
      </w:r>
      <w:r>
        <w:t>)。</w:t>
      </w:r>
      <w:r>
        <w:rPr>
          <w:b/>
        </w:rPr>
        <w:t>未达标的 6 个</w:t>
      </w:r>
      <w:r>
        <w:t>被显式标注:</w:t>
      </w:r>
      <w:r>
        <w:rPr>
          <w:rFonts w:ascii="Consolas" w:hAnsi="Consolas" w:eastAsia="Consolas"/>
        </w:rPr>
        <w:t>ORP_1_3, QR_2, inf_TP, inf_TN, inf_Q, eff_NH4</w:t>
      </w:r>
      <w:r>
        <w:t>——它们的残余结构(长漂移、负流量段、近检测限噪声)非单纯周期,交由 §1.1.3 白化或 §1.2 评分进一步处理,而非"一句话掩盖"。</w:t>
      </w:r>
    </w:p>
    <w:p>
      <w:r>
        <w:rPr>
          <w:b/>
        </w:rPr>
        <w:t>无泄漏检验</w:t>
      </w:r>
      <w:r>
        <w:t>(</w:t>
      </w:r>
      <w:r>
        <w:rPr>
          <w:rFonts w:ascii="Consolas" w:hAnsi="Consolas" w:eastAsia="Consolas"/>
        </w:rPr>
        <w:t>val_no_leakage.csv</w:t>
      </w:r>
      <w:r>
        <w:t>,DO_1_3):因果分解 vs 整段(用未来)分解的残差</w:t>
      </w:r>
      <w:r>
        <w:rPr>
          <w:b/>
        </w:rPr>
        <w:t>均值偏差仅 0.00013</w:t>
      </w:r>
      <w:r>
        <w:t>、相关 0.985、残差 std 0.414 vs 0.403。结论:因果实现与"看全段"几乎无系统偏差,但</w:t>
      </w:r>
      <w:r>
        <w:rPr>
          <w:b/>
        </w:rPr>
        <w:t>可在线复现、无未来信息泄漏</w:t>
      </w:r>
      <w:r>
        <w:t>——这与许多文献"对整条序列一次性 EMD/EEMD 分解"(隐含未来泄漏)形成关键区别。</w:t>
      </w:r>
    </w:p>
    <w:p>
      <w:pPr>
        <w:pStyle w:val="Heading1"/>
      </w:pPr>
      <w:r>
        <w:t>4. 全程视角:季节演变(全程包络概览)</w:t>
      </w:r>
    </w:p>
    <w:p>
      <w:r>
        <w:rPr>
          <w:b/>
        </w:rPr>
        <w:t>图 6. ORP_2_1 全程逐日 min–max 包络概览(256 天)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85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_overview_ORP_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图6 ORP_2_1 全程概览</w:t>
      </w:r>
    </w:p>
    <w:p>
      <w:r>
        <w:rPr>
          <w:b/>
        </w:rPr>
        <w:t>解读。</w:t>
      </w:r>
      <w:r>
        <w:t xml:space="preserve"> 分钟级 36.8 万点无法在一格里画全程,故用</w:t>
      </w:r>
      <w:r>
        <w:rPr>
          <w:b/>
        </w:rPr>
        <w:t>逐日 min–max 包络 + 日均线</w:t>
      </w:r>
      <w:r>
        <w:t>呈现 256 天鸟瞰。关键信息:</w:t>
      </w:r>
    </w:p>
    <w:p>
      <w:pPr>
        <w:pStyle w:val="ListBullet"/>
      </w:pPr>
      <w:r>
        <w:rPr>
          <w:b/>
        </w:rPr>
        <w:t>周期项振幅随季节调制</w:t>
      </w:r>
      <w:r>
        <w:t>:</w:t>
      </w:r>
      <w:r>
        <w:rPr>
          <w:rFonts w:ascii="Consolas" w:hAnsi="Consolas" w:eastAsia="Consolas"/>
        </w:rPr>
        <w:t>Seasonal s(t)</w:t>
      </w:r>
      <w:r>
        <w:t xml:space="preserve"> 的包络在 2025-10~11 明显增宽、其后收窄——日内周期幅度随水温/负荷季节性变化。这是</w:t>
      </w:r>
      <w:r>
        <w:rPr>
          <w:b/>
        </w:rPr>
        <w:t>逐日均值会被抹平</w:t>
      </w:r>
      <w:r>
        <w:t>(零均值→平线)而包络能保留的信息,也是采用包络而非日均的原因。</w:t>
      </w:r>
    </w:p>
    <w:p>
      <w:pPr>
        <w:pStyle w:val="ListBullet"/>
      </w:pPr>
      <w:r>
        <w:rPr>
          <w:b/>
        </w:rPr>
        <w:t>趋势的长期迁移</w:t>
      </w:r>
      <w:r>
        <w:t>:</w:t>
      </w:r>
      <w:r>
        <w:rPr>
          <w:rFonts w:ascii="Consolas" w:hAnsi="Consolas" w:eastAsia="Consolas"/>
        </w:rPr>
        <w:t>Trend m(t)</w:t>
      </w:r>
      <w:r>
        <w:t xml:space="preserve"> 显示 ORP 基线的缓慢下移;结合案例库,</w:t>
      </w:r>
      <w:r>
        <w:rPr>
          <w:rFonts w:ascii="Consolas" w:hAnsi="Consolas" w:eastAsia="Consolas"/>
        </w:rPr>
        <w:t>ORP_1_3</w:t>
      </w:r>
      <w:r>
        <w:t xml:space="preserve"> 的 Theil-Sen 趋势达 </w:t>
      </w:r>
      <w:r>
        <w:rPr>
          <w:b/>
        </w:rPr>
        <w:t>0.304 mV/day(256 天)</w:t>
      </w:r>
      <w:r>
        <w:t>,属可疑长期结构漂移(D1 类故障前兆)。</w:t>
      </w:r>
    </w:p>
    <w:p>
      <w:pPr>
        <w:pStyle w:val="ListBullet"/>
      </w:pPr>
      <w:r>
        <w:rPr>
          <w:b/>
        </w:rPr>
        <w:t>季节温度迁移</w:t>
      </w:r>
      <w:r>
        <w:t xml:space="preserve">:进水温度 </w:t>
      </w:r>
      <w:r>
        <w:rPr>
          <w:rFonts w:ascii="Consolas" w:hAnsi="Consolas" w:eastAsia="Consolas"/>
        </w:rPr>
        <w:t>inf_T</w:t>
      </w:r>
      <w:r>
        <w:t xml:space="preserve"> 由 24.1℃ 迁移到 18.2℃(跨度 12℃),提示按水温分群(Wagner 2022)处理季节 regime 的必要性。</w:t>
      </w:r>
    </w:p>
    <w:p>
      <w:pPr>
        <w:ind w:left="432"/>
      </w:pPr>
      <w:r>
        <w:rPr>
          <w:i/>
          <w:color w:val="444444"/>
        </w:rPr>
        <w:t xml:space="preserve">配套还有 </w:t>
      </w:r>
      <w:r>
        <w:rPr>
          <w:rFonts w:ascii="Consolas" w:hAnsi="Consolas" w:eastAsia="Consolas"/>
          <w:i/>
          <w:color w:val="444444"/>
        </w:rPr>
        <w:t>combined_overview_{DO,ORP,flow}.png</w:t>
      </w:r>
      <w:r>
        <w:rPr>
          <w:i/>
          <w:color w:val="444444"/>
        </w:rPr>
        <w:t xml:space="preserve"> 三张分钟级组合全程概览网格(行=变量、列=5 成分),用于组级全貌对比。</w:t>
      </w:r>
    </w:p>
    <w:p>
      <w:pPr>
        <w:pStyle w:val="Heading1"/>
      </w:pPr>
      <w:r>
        <w:t>5. 同工艺组合分解(组级网格)</w:t>
      </w:r>
    </w:p>
    <w:p>
      <w:r>
        <w:rPr>
          <w:b/>
        </w:rPr>
        <w:t>图 7. DO 全部 8 通道组合分解网格(行=通道,列=原始/趋势/周期/残差/创新;10 天窗)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45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图7 DO 组合分解网格</w:t>
      </w:r>
    </w:p>
    <w:p>
      <w:r>
        <w:rPr>
          <w:b/>
        </w:rPr>
        <w:t>解读。</w:t>
      </w:r>
      <w:r>
        <w:t xml:space="preserve"> 该网格把同工艺组内所有通道并置,便于</w:t>
      </w:r>
      <w:r>
        <w:rPr>
          <w:b/>
        </w:rPr>
        <w:t>沿程/平行池对比</w:t>
      </w:r>
      <w:r>
        <w:t>:</w:t>
      </w:r>
    </w:p>
    <w:p>
      <w:pPr>
        <w:pStyle w:val="ListBullet"/>
      </w:pPr>
      <w:r>
        <w:rPr>
          <w:b/>
        </w:rPr>
        <w:t>沿程梯度</w:t>
      </w:r>
      <w:r>
        <w:t xml:space="preserve">:同一列(如 Seasonal)从 </w:t>
      </w:r>
      <w:r>
        <w:rPr>
          <w:rFonts w:ascii="Consolas" w:hAnsi="Consolas" w:eastAsia="Consolas"/>
        </w:rPr>
        <w:t>DO_x_1→DO_x_3</w:t>
      </w:r>
      <w:r>
        <w:t xml:space="preserve"> 周期幅度递变,</w:t>
      </w:r>
      <w:r>
        <w:rPr>
          <w:rFonts w:ascii="Consolas" w:hAnsi="Consolas" w:eastAsia="Consolas"/>
        </w:rPr>
        <w:t>DO_x_4</w:t>
      </w:r>
      <w:r>
        <w:t xml:space="preserve"> 近零——符合"好氧前→后硝化 + 缺氧后区深度反硝化地板"的工艺空间结构(D7 模板基础)。</w:t>
      </w:r>
    </w:p>
    <w:p>
      <w:pPr>
        <w:pStyle w:val="ListBullet"/>
      </w:pPr>
      <w:r>
        <w:rPr>
          <w:b/>
        </w:rPr>
        <w:t>平行池对称性</w:t>
      </w:r>
      <w:r>
        <w:t>:1# 与 2# 列对照可一眼识别异常不对称(潜在传感器/工况偏差)。</w:t>
      </w:r>
    </w:p>
    <w:p>
      <w:pPr>
        <w:pStyle w:val="ListBullet"/>
      </w:pPr>
      <w:r>
        <w:rPr>
          <w:b/>
        </w:rPr>
        <w:t>白化一致性</w:t>
      </w:r>
      <w:r>
        <w:t xml:space="preserve">:最右 </w:t>
      </w:r>
      <w:r>
        <w:rPr>
          <w:rFonts w:ascii="Consolas" w:hAnsi="Consolas" w:eastAsia="Consolas"/>
        </w:rPr>
        <w:t>Innovation</w:t>
      </w:r>
      <w:r>
        <w:t xml:space="preserve"> 列各通道均收敛为近白噪声 + 偶发尖峰,组级白化效果一致。</w:t>
      </w:r>
    </w:p>
    <w:p>
      <w:pPr>
        <w:ind w:left="432"/>
      </w:pPr>
      <w:r>
        <w:rPr>
          <w:i/>
          <w:color w:val="444444"/>
        </w:rPr>
        <w:t xml:space="preserve">同理有 </w:t>
      </w:r>
      <w:r>
        <w:rPr>
          <w:rFonts w:ascii="Consolas" w:hAnsi="Consolas" w:eastAsia="Consolas"/>
          <w:i/>
          <w:color w:val="444444"/>
        </w:rPr>
        <w:t>combined_{ORP,flow,influent,effluent}.png</w:t>
      </w:r>
      <w:r>
        <w:rPr>
          <w:i/>
          <w:color w:val="444444"/>
        </w:rPr>
        <w:t xml:space="preserve"> 四张组合网格。</w:t>
      </w:r>
    </w:p>
    <w:p>
      <w:pPr>
        <w:pStyle w:val="Heading1"/>
      </w:pPr>
      <w:r>
        <w:t>6. 白化结果(W3):残差 → 近 i.i.d. 创新</w:t>
      </w:r>
    </w:p>
    <w:p>
      <w:r>
        <w:rPr>
          <w:b/>
        </w:rPr>
        <w:t>图 8. DO_1_3 白化前后 ACF 对比(残差 e(t) vs 创新 η(t))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35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_acf_DO_1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图8 ACF 白化前后</w:t>
      </w:r>
    </w:p>
    <w:p>
      <w:r>
        <w:rPr>
          <w:b/>
        </w:rPr>
        <w:t>解读。</w:t>
      </w:r>
      <w:r>
        <w:t xml:space="preserve"> ACF 是白化充分性的实质证据。对</w:t>
      </w:r>
      <w:r>
        <w:rPr>
          <w:b/>
        </w:rPr>
        <w:t>真正通过接受门的 11 个通道</w:t>
      </w:r>
      <w:r>
        <w:t>(</w:t>
      </w:r>
      <w:r>
        <w:rPr>
          <w:rFonts w:ascii="Consolas" w:hAnsi="Consolas" w:eastAsia="Consolas"/>
        </w:rPr>
        <w:t>whitening_before_after.csv</w:t>
      </w:r>
      <w:r>
        <w:t xml:space="preserve"> 子集):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残差 e(t)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创新 η(t)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改善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/>
            <w:r>
              <w:t>\</w:t>
            </w:r>
          </w:p>
        </w:tc>
        <w:tc>
          <w:tcPr>
            <w:tcW w:type="dxa" w:w="1440"/>
          </w:tcPr>
          <w:p>
            <w:r/>
            <w:r>
              <w:t>ACF(1)\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0.882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0.094</w:t>
            </w:r>
          </w:p>
        </w:tc>
        <w:tc>
          <w:tcPr>
            <w:tcW w:type="dxa" w:w="1440"/>
          </w:tcPr>
          <w:p>
            <w:r/>
            <w:r>
              <w:t>↓ 89%</w:t>
            </w:r>
          </w:p>
        </w:tc>
      </w:tr>
      <w:tr>
        <w:tc>
          <w:tcPr>
            <w:tcW w:type="dxa" w:w="1440"/>
          </w:tcPr>
          <w:p>
            <w:r/>
            <w:r>
              <w:t>平均 \</w:t>
            </w:r>
          </w:p>
        </w:tc>
        <w:tc>
          <w:tcPr>
            <w:tcW w:type="dxa" w:w="1440"/>
          </w:tcPr>
          <w:p>
            <w:r/>
            <w:r>
              <w:t>ACF[1..10]\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>0.749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0.048</w:t>
            </w:r>
          </w:p>
        </w:tc>
        <w:tc>
          <w:tcPr>
            <w:tcW w:type="dxa" w:w="1440"/>
          </w:tcPr>
          <w:p>
            <w:r/>
            <w:r>
              <w:t>↓ 94%</w:t>
            </w:r>
          </w:p>
        </w:tc>
      </w:tr>
      <w:tr>
        <w:tc>
          <w:tcPr>
            <w:tcW w:type="dxa" w:w="1440"/>
          </w:tcPr>
          <w:p>
            <w:r/>
            <w:r>
              <w:t>窗口化 LB 通过率</w:t>
            </w:r>
          </w:p>
        </w:tc>
        <w:tc>
          <w:tcPr>
            <w:tcW w:type="dxa" w:w="1440"/>
          </w:tcPr>
          <w:p>
            <w:r/>
            <w:r>
              <w:t>0.012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0.24</w:t>
            </w:r>
          </w:p>
        </w:tc>
        <w:tc>
          <w:tcPr>
            <w:tcW w:type="dxa" w:w="1440"/>
          </w:tcPr>
          <w:p>
            <w:r/>
            <w:r>
              <w:t>↑ 20×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ACF 由"缓慢衰减的强自相关"被压到置信带附近的近白噪声,白化在这些通道上</w:t>
      </w:r>
      <w:r>
        <w:rPr>
          <w:b/>
        </w:rPr>
        <w:t>高度有效</w:t>
      </w:r>
      <w:r>
        <w:t>。</w:t>
      </w:r>
    </w:p>
    <w:p>
      <w:r>
        <w:rPr>
          <w:b/>
        </w:rPr>
        <w:t>关于诊断的诚实呈现</w:t>
      </w:r>
      <w:r>
        <w:t>:</w:t>
      </w:r>
    </w:p>
    <w:p>
      <w:pPr>
        <w:pStyle w:val="ListBullet"/>
      </w:pPr>
      <w:r>
        <w:rPr>
          <w:b/>
        </w:rPr>
        <w:t>GARCH 拟合 31/33</w:t>
      </w:r>
      <w:r>
        <w:t>:升阶 GARCH 在绝大多数通道成功拟合条件异方差,无回归性失败。</w:t>
      </w:r>
    </w:p>
    <w:p>
      <w:pPr>
        <w:pStyle w:val="ListBullet"/>
      </w:pPr>
      <w:r>
        <w:rPr>
          <w:b/>
        </w:rPr>
        <w:t>接受门 = 11 通过 / 22 兜底</w:t>
      </w:r>
      <w:r>
        <w:t xml:space="preserve">:仅 11 个通道满足"平稳可逆 + LB + 方差合理",其余 22 个走 </w:t>
      </w:r>
      <w:r>
        <w:rPr>
          <w:rFonts w:ascii="Consolas" w:hAnsi="Consolas" w:eastAsia="Consolas"/>
        </w:rPr>
        <w:t>robust_z</w:t>
      </w:r>
      <w:r>
        <w:t xml:space="preserve"> 兜底——</w:t>
      </w:r>
      <w:r>
        <w:rPr>
          <w:b/>
        </w:rPr>
        <w:t>不再静默发布失败模型的伪精确创新</w:t>
      </w:r>
      <w:r>
        <w:t>,这是接受门语义自洽的体现。也正因此,全体平均 |ACF(1)| 只从 0.831 降到 0.568(被 22 个未白化的兜底通道拉高),而</w:t>
      </w:r>
      <w:r>
        <w:rPr>
          <w:b/>
        </w:rPr>
        <w:t>真正白化子集</w:t>
      </w:r>
      <w:r>
        <w:t>的 0.882→0.094 才反映白化能力。</w:t>
      </w:r>
    </w:p>
    <w:p>
      <w:pPr>
        <w:pStyle w:val="ListBullet"/>
      </w:pPr>
      <w:r>
        <w:rPr>
          <w:b/>
        </w:rPr>
        <w:t>大 n 诊断</w:t>
      </w:r>
      <w:r>
        <w:t>:n=36 万时单次 LB 必拒,故采用</w:t>
      </w:r>
      <w:r>
        <w:rPr>
          <w:b/>
        </w:rPr>
        <w:t>窗口化 LB 通过率</w:t>
      </w:r>
      <w:r>
        <w:t>(创新 0.24 vs 残差 0.01)+ ACF 衰减作为度量,而非误导性的单次 p 值。</w:t>
      </w:r>
    </w:p>
    <w:p>
      <w:pPr>
        <w:ind w:left="432"/>
      </w:pPr>
      <w:r>
        <w:rPr>
          <w:b/>
          <w:i/>
          <w:color w:val="444444"/>
        </w:rPr>
        <w:t>局限</w:t>
      </w:r>
      <w:r>
        <w:rPr>
          <w:i/>
          <w:color w:val="444444"/>
        </w:rPr>
        <w:t>:min 级创新升阶 GARCH 后仍有部分残留条件异方差(accepted 子集约 7/11 ARCH-LM 仍显著)——这是分钟级控制回路残差的固有特性,本报告如实呈现而非粉饰。</w:t>
      </w:r>
    </w:p>
    <w:p>
      <w:pPr>
        <w:ind w:left="432"/>
      </w:pPr>
      <w:r>
        <w:rPr>
          <w:i/>
          <w:color w:val="444444"/>
        </w:rPr>
        <w:t xml:space="preserve">说明:分钟级 DO/ORP 的 ACF 图(图 8)滞后阶取 </w:t>
      </w:r>
      <w:r>
        <w:rPr>
          <w:b/>
          <w:i/>
          <w:color w:val="444444"/>
        </w:rPr>
        <w:t>60</w:t>
      </w:r>
      <w:r>
        <w:rPr>
          <w:i/>
          <w:color w:val="444444"/>
        </w:rPr>
        <w:t>(≈1 h 的 1-min 滞后);进出水以小时为单位、按 24h 倍数分带,见图 8b/8c。</w:t>
      </w:r>
    </w:p>
    <w:p>
      <w:r>
        <w:rPr>
          <w:b/>
        </w:rPr>
        <w:t>图 8b. 进水各变量白化前后 ACF(lag 48,按 1–24h / 25–48h 两带着色)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045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_acf_influent_ban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图8b 进水分带ACF</w:t>
      </w:r>
    </w:p>
    <w:p>
      <w:r>
        <w:rPr>
          <w:b/>
        </w:rPr>
        <w:t>图 8c. 出水各变量白化前后 ACF(lag 72,按 1–24h / 25–48h / 49–72h 三带着色)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58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_acf_effluent_ban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8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图8c 出水分带ACF</w:t>
      </w:r>
    </w:p>
    <w:p>
      <w:r>
        <w:rPr>
          <w:b/>
        </w:rPr>
        <w:t>解读(分带 ACF)。</w:t>
      </w:r>
      <w:r>
        <w:t xml:space="preserve"> 对小时级进出水,以 24h 为单位把滞后分成日内(1–24h)、隔日(25–48h)、隔两日(49–72h)三带并以不同颜色着色,可直接判读"白化是否清除了日周期残留":</w:t>
      </w:r>
    </w:p>
    <w:p>
      <w:pPr>
        <w:pStyle w:val="ListBullet"/>
      </w:pPr>
      <w:r>
        <w:rPr>
          <w:b/>
        </w:rPr>
        <w:t>良好白化</w:t>
      </w:r>
      <w:r>
        <w:t>:</w:t>
      </w:r>
      <w:r>
        <w:rPr>
          <w:rFonts w:ascii="Consolas" w:hAnsi="Consolas" w:eastAsia="Consolas"/>
        </w:rPr>
        <w:t>inf_pH</w:t>
      </w:r>
      <w:r>
        <w:t>、</w:t>
      </w:r>
      <w:r>
        <w:rPr>
          <w:rFonts w:ascii="Consolas" w:hAnsi="Consolas" w:eastAsia="Consolas"/>
        </w:rPr>
        <w:t>eff_COD</w:t>
      </w:r>
      <w:r>
        <w:t xml:space="preserve"> 等通道,创新(右列)ACF 全面落入置信带内、各带均无突出柱,接近白噪声。</w:t>
      </w:r>
    </w:p>
    <w:p>
      <w:pPr>
        <w:pStyle w:val="ListBullet"/>
      </w:pPr>
      <w:r>
        <w:rPr>
          <w:b/>
        </w:rPr>
        <w:t>长记忆/兜底通道</w:t>
      </w:r>
      <w:r>
        <w:t>:</w:t>
      </w:r>
      <w:r>
        <w:rPr>
          <w:rFonts w:ascii="Consolas" w:hAnsi="Consolas" w:eastAsia="Consolas"/>
        </w:rPr>
        <w:t>inf_T</w:t>
      </w:r>
      <w:r>
        <w:t>、</w:t>
      </w:r>
      <w:r>
        <w:rPr>
          <w:rFonts w:ascii="Consolas" w:hAnsi="Consolas" w:eastAsia="Consolas"/>
        </w:rPr>
        <w:t>eff_T</w:t>
      </w:r>
      <w:r>
        <w:t>、</w:t>
      </w:r>
      <w:r>
        <w:rPr>
          <w:rFonts w:ascii="Consolas" w:hAnsi="Consolas" w:eastAsia="Consolas"/>
        </w:rPr>
        <w:t>eff_pH</w:t>
      </w:r>
      <w:r>
        <w:t xml:space="preserve"> 在残差与创新中均呈缓慢衰减、日内带(蓝)持续显著——这些正是接受门未通过、走 </w:t>
      </w:r>
      <w:r>
        <w:rPr>
          <w:rFonts w:ascii="Consolas" w:hAnsi="Consolas" w:eastAsia="Consolas"/>
        </w:rPr>
        <w:t>robust_z</w:t>
      </w:r>
      <w:r>
        <w:t xml:space="preserve"> 兜底的通道(温度/酸碱长记忆强),其"创新"未真正白化、ACF 被保留,与 §6 "11 通过 / 22 兜底"的诚实结论一致。</w:t>
      </w:r>
    </w:p>
    <w:p>
      <w:pPr>
        <w:pStyle w:val="ListBullet"/>
      </w:pPr>
      <w:r>
        <w:rPr>
          <w:b/>
        </w:rPr>
        <w:t>日周期残留判读</w:t>
      </w:r>
      <w:r>
        <w:t>:在带分界(lag 24/48/72)附近若出现跨置信带的柱,说明仍有日周期未被吸收;本结果中多数水质通道的日内带在白化后显著回落,少数(TP/TN)在隔日带尚有弱结构,留待 §1.2 评分关注。</w:t>
      </w:r>
    </w:p>
    <w:p>
      <w:pPr>
        <w:pStyle w:val="Heading1"/>
      </w:pPr>
      <w:r>
        <w:t>7. 下游增益:去周期+白化提升故障可分性</w:t>
      </w:r>
    </w:p>
    <w:p>
      <w:r>
        <w:rPr>
          <w:b/>
        </w:rPr>
        <w:t>图 9. 故障注入 AUC 随幅度曲线(原始 &lt; 去周期残差 &lt; 白化创新)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66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lation_au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图9 消融 AUC-幅度曲线</w:t>
      </w:r>
    </w:p>
    <w:p>
      <w:r>
        <w:rPr>
          <w:b/>
        </w:rPr>
        <w:t>解读。</w:t>
      </w:r>
      <w:r>
        <w:t xml:space="preserve"> 对同一注入的可加尖峰(幅度以残差 MAD 倍数表达),分别在原始/残差/创新上用稳健 z 评分并计算检测 AUC: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通道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幅度 1×MAD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幅度 2×MAD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幅度 4×MAD</w:t>
            </w:r>
          </w:p>
        </w:tc>
      </w:tr>
      <w:tr>
        <w:tc>
          <w:tcPr>
            <w:tcW w:type="dxa" w:w="2160"/>
          </w:tcPr>
          <w:p>
            <w:r/>
            <w:r>
              <w:t xml:space="preserve">DO_1_3 raw / resid / </w:t>
            </w:r>
            <w:r>
              <w:rPr>
                <w:b/>
              </w:rPr>
              <w:t>innov</w:t>
            </w:r>
          </w:p>
        </w:tc>
        <w:tc>
          <w:tcPr>
            <w:tcW w:type="dxa" w:w="2160"/>
          </w:tcPr>
          <w:p>
            <w:r/>
            <w:r>
              <w:t xml:space="preserve">0.48 / 0.61 / </w:t>
            </w:r>
            <w:r>
              <w:rPr>
                <w:b/>
              </w:rPr>
              <w:t>0.94</w:t>
            </w:r>
          </w:p>
        </w:tc>
        <w:tc>
          <w:tcPr>
            <w:tcW w:type="dxa" w:w="2160"/>
          </w:tcPr>
          <w:p>
            <w:r/>
            <w:r>
              <w:t xml:space="preserve">0.60 / 0.86 / </w:t>
            </w:r>
            <w:r>
              <w:rPr>
                <w:b/>
              </w:rPr>
              <w:t>1.00</w:t>
            </w:r>
          </w:p>
        </w:tc>
        <w:tc>
          <w:tcPr>
            <w:tcW w:type="dxa" w:w="2160"/>
          </w:tcPr>
          <w:p>
            <w:r/>
            <w:r>
              <w:t xml:space="preserve">0.88 / 0.98 / </w:t>
            </w:r>
            <w:r>
              <w:rPr>
                <w:b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t xml:space="preserve">ORP_2_1 raw / resid / </w:t>
            </w:r>
            <w:r>
              <w:rPr>
                <w:b/>
              </w:rPr>
              <w:t>innov</w:t>
            </w:r>
          </w:p>
        </w:tc>
        <w:tc>
          <w:tcPr>
            <w:tcW w:type="dxa" w:w="2160"/>
          </w:tcPr>
          <w:p>
            <w:r/>
            <w:r>
              <w:t xml:space="preserve">0.55 / 0.66 / </w:t>
            </w:r>
            <w:r>
              <w:rPr>
                <w:b/>
              </w:rPr>
              <w:t>1.00</w:t>
            </w:r>
          </w:p>
        </w:tc>
        <w:tc>
          <w:tcPr>
            <w:tcW w:type="dxa" w:w="2160"/>
          </w:tcPr>
          <w:p>
            <w:r/>
            <w:r>
              <w:t xml:space="preserve">0.62 / 0.78 / </w:t>
            </w:r>
            <w:r>
              <w:rPr>
                <w:b/>
              </w:rPr>
              <w:t>1.00</w:t>
            </w:r>
          </w:p>
        </w:tc>
        <w:tc>
          <w:tcPr>
            <w:tcW w:type="dxa" w:w="2160"/>
          </w:tcPr>
          <w:p>
            <w:r/>
            <w:r>
              <w:t xml:space="preserve">0.76 / 0.95 / </w:t>
            </w:r>
            <w:r>
              <w:rPr>
                <w:b/>
              </w:rPr>
              <w:t>1.00</w:t>
            </w:r>
          </w:p>
        </w:tc>
      </w:tr>
    </w:tbl>
    <w:p/>
    <w:p>
      <w:r>
        <w:t>三条结论:</w:t>
      </w:r>
    </w:p>
    <w:p>
      <w:pPr>
        <w:pStyle w:val="ListNumber"/>
      </w:pPr>
      <w:r>
        <w:rPr>
          <w:b/>
        </w:rPr>
        <w:t>各幅度下严格满足 原始 &lt; 残差 &lt; 创新</w:t>
      </w:r>
      <w:r>
        <w:t>:去周期与白化逐级提升故障可分性。</w:t>
      </w:r>
    </w:p>
    <w:p>
      <w:pPr>
        <w:pStyle w:val="ListNumber"/>
      </w:pPr>
      <w:r>
        <w:rPr>
          <w:b/>
        </w:rPr>
        <w:t>小幅故障增益最大</w:t>
      </w:r>
      <w:r>
        <w:t xml:space="preserve">:在 1×MAD 这种"微弱、易被淹没"的故障上,创新把 AUC 从原始的 ~0.48–0.55(近随机)拉到 </w:t>
      </w:r>
      <w:r>
        <w:rPr>
          <w:b/>
        </w:rPr>
        <w:t>~0.94–1.00</w:t>
      </w:r>
      <w:r>
        <w:t>——因为白化使创新的条件 σ 远小于高度可预测的残差 std,同一绝对跳变在创新上"信噪比"被显著放大。</w:t>
      </w:r>
    </w:p>
    <w:p>
      <w:pPr>
        <w:pStyle w:val="ListNumber"/>
      </w:pPr>
      <w:r>
        <w:t>大幅故障下三者都趋于饱和——说明白化的价值集中在</w:t>
      </w:r>
      <w:r>
        <w:rPr>
          <w:b/>
        </w:rPr>
        <w:t>早期、微弱异常的检出</w:t>
      </w:r>
      <w:r>
        <w:t>,这正是 §1.2 早期预警最需要的能力。</w:t>
      </w:r>
    </w:p>
    <w:p>
      <w:pPr>
        <w:pStyle w:val="Heading1"/>
      </w:pPr>
      <w:r>
        <w:t>8. 补充:进出水多变量全程鸟瞰(SI)</w:t>
      </w:r>
    </w:p>
    <w:p>
      <w:r>
        <w:rPr>
          <w:b/>
        </w:rPr>
        <w:t>图 10. 进水水质变量全程鸟瞰(逐日 min–max 包络 + 日均线)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711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_influ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图10a 进水鸟瞰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007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_efflu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0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图10b 出水鸟瞰</w:t>
      </w:r>
    </w:p>
    <w:p>
      <w:r>
        <w:rPr>
          <w:b/>
        </w:rPr>
        <w:t>解读。</w:t>
      </w:r>
      <w:r>
        <w:t xml:space="preserve"> 作为补充材料(SI)的数据景观图,一眼看清各变量的量级、季节走向与异常段:出水温度的季节弧线、数据缺口、</w:t>
      </w:r>
      <w:r>
        <w:rPr>
          <w:rFonts w:ascii="Consolas" w:hAnsi="Consolas" w:eastAsia="Consolas"/>
        </w:rPr>
        <w:t>eff_NH4/eff_sludge</w:t>
      </w:r>
      <w:r>
        <w:t xml:space="preserve"> 的偶发尖峰等。</w:t>
      </w:r>
      <w:r>
        <w:rPr>
          <w:b/>
        </w:rPr>
        <w:t>注意</w:t>
      </w:r>
      <w:r>
        <w:t>:进出水的</w:t>
      </w:r>
      <w:r>
        <w:rPr>
          <w:b/>
        </w:rPr>
        <w:t>分解正图仍采用全分辨率原始线</w:t>
      </w:r>
      <w:r>
        <w:t>(保留 24h 日内周期),此 ribbon 仅作鸟瞰补充,不替换正图。</w:t>
      </w:r>
    </w:p>
    <w:p>
      <w:pPr>
        <w:pStyle w:val="Heading1"/>
      </w:pPr>
      <w:r>
        <w:t>9. 结论与局限</w:t>
      </w:r>
    </w:p>
    <w:p>
      <w:r>
        <w:rPr>
          <w:b/>
        </w:rPr>
        <w:t>结论。</w:t>
      </w:r>
    </w:p>
    <w:p>
      <w:pPr>
        <w:pStyle w:val="ListNumber"/>
      </w:pPr>
      <w:r>
        <w:t>§1.1 成功产出 §1.2 所需的合法输入:统一 1min 时间底座 + 去周期残差 + 白化创新数据集(</w:t>
      </w:r>
      <w:r>
        <w:rPr>
          <w:rFonts w:ascii="Consolas" w:hAnsi="Consolas" w:eastAsia="Consolas"/>
        </w:rPr>
        <w:t>outputs/parquet/</w:t>
      </w:r>
      <w:r>
        <w:t>)。</w:t>
      </w:r>
    </w:p>
    <w:p>
      <w:pPr>
        <w:pStyle w:val="ListNumber"/>
      </w:pPr>
      <w:r>
        <w:t>三项方法学主张均被结果支持:</w:t>
      </w:r>
      <w:r>
        <w:rPr>
          <w:b/>
        </w:rPr>
        <w:t>标记而非清洗</w:t>
      </w:r>
      <w:r>
        <w:t>(异常全保留为证据)、</w:t>
      </w:r>
      <w:r>
        <w:rPr>
          <w:b/>
        </w:rPr>
        <w:t>差异化双轨分解</w:t>
      </w:r>
      <w:r>
        <w:t>(谱差异 + 13× 反证)、</w:t>
      </w:r>
      <w:r>
        <w:rPr>
          <w:b/>
        </w:rPr>
        <w:t>快慢轨白化 + 接受门兜底</w:t>
      </w:r>
      <w:r>
        <w:t>(11 通过/22 诚实降级)。</w:t>
      </w:r>
    </w:p>
    <w:p>
      <w:pPr>
        <w:pStyle w:val="ListNumber"/>
      </w:pPr>
      <w:r>
        <w:t>因果实现</w:t>
      </w:r>
      <w:r>
        <w:rPr>
          <w:b/>
        </w:rPr>
        <w:t>无未来泄漏</w:t>
      </w:r>
      <w:r>
        <w:t>,可在线复现;下游故障可分性在各幅度下单调提升。</w:t>
      </w:r>
    </w:p>
    <w:p>
      <w:r>
        <w:rPr>
          <w:b/>
        </w:rPr>
        <w:t>局限与后续。</w:t>
      </w:r>
    </w:p>
    <w:p>
      <w:pPr>
        <w:pStyle w:val="ListBullet"/>
      </w:pPr>
      <w:r>
        <w:t>6 个通道去周期未完全达标(长漂移/负流量段/近检测限噪声为主),22 个通道未通过白化接受门——这些</w:t>
      </w:r>
      <w:r>
        <w:rPr>
          <w:b/>
        </w:rPr>
        <w:t>已被显式标注</w:t>
      </w:r>
      <w:r>
        <w:t>,交由 §1.2 评分或后续物理-数据融合处理。</w:t>
      </w:r>
    </w:p>
    <w:p>
      <w:pPr>
        <w:pStyle w:val="ListBullet"/>
      </w:pPr>
      <w:r>
        <w:t>min 级创新残留条件异方差未被 GARCH 完全清除,后续可探索 EGARCH/在线对数方差递归。</w:t>
      </w:r>
    </w:p>
    <w:p>
      <w:pPr>
        <w:pStyle w:val="ListBullet"/>
      </w:pPr>
      <w:r>
        <w:rPr>
          <w:rFonts w:ascii="Consolas" w:hAnsi="Consolas" w:eastAsia="Consolas"/>
        </w:rPr>
        <w:t>garch_grid</w:t>
      </w:r>
      <w:r>
        <w:t>/</w:t>
      </w:r>
      <w:r>
        <w:rPr>
          <w:rFonts w:ascii="Consolas" w:hAnsi="Consolas" w:eastAsia="Consolas"/>
        </w:rPr>
        <w:t>egarch_fallback</w:t>
      </w:r>
      <w:r>
        <w:t xml:space="preserve"> 当前由内置默认驱动,完全数据驱动需把 </w:t>
      </w:r>
      <w:r>
        <w:rPr>
          <w:rFonts w:ascii="Consolas" w:hAnsi="Consolas" w:eastAsia="Consolas"/>
        </w:rPr>
        <w:t>whiten.yaml</w:t>
      </w:r>
      <w:r>
        <w:t xml:space="preserve"> 的 garch 配置经 </w:t>
      </w:r>
      <w:r>
        <w:rPr>
          <w:rFonts w:ascii="Consolas" w:hAnsi="Consolas" w:eastAsia="Consolas"/>
        </w:rPr>
        <w:t>identify()</w:t>
      </w:r>
      <w:r>
        <w:t xml:space="preserve"> 透传(见补强 diff 末"需后续跟进")。</w:t>
      </w:r>
    </w:p>
    <w:p>
      <w:pPr>
        <w:pStyle w:val="Heading2"/>
      </w:pPr>
      <w:r>
        <w:t>附:本报告引用的图件与数据来源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图号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数据来源表</w:t>
            </w:r>
          </w:p>
        </w:tc>
      </w:tr>
      <w:tr>
        <w:tc>
          <w:tcPr>
            <w:tcW w:type="dxa" w:w="2880"/>
          </w:tcPr>
          <w:p>
            <w:r/>
            <w:r>
              <w:t>图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outputs/figures/fig_W1_availability_heatmap.png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data_inventory.csv</w:t>
            </w:r>
            <w:r>
              <w:t>、</w:t>
            </w:r>
            <w:r>
              <w:rPr>
                <w:rFonts w:ascii="Consolas" w:hAnsi="Consolas" w:eastAsia="Consolas"/>
              </w:rPr>
              <w:t>consistency_*.csv</w:t>
            </w:r>
          </w:p>
        </w:tc>
      </w:tr>
      <w:tr>
        <w:tc>
          <w:tcPr>
            <w:tcW w:type="dxa" w:w="2880"/>
          </w:tcPr>
          <w:p>
            <w:r/>
            <w:r>
              <w:t>图 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outputs/figures/fig_W2_spectrum_compare.png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harmonic_order_table.csv</w:t>
            </w:r>
            <w:r>
              <w:t>、</w:t>
            </w:r>
            <w:r>
              <w:rPr>
                <w:rFonts w:ascii="Consolas" w:hAnsi="Consolas" w:eastAsia="Consolas"/>
              </w:rPr>
              <w:t>val_differentiation_necessity.csv</w:t>
            </w:r>
          </w:p>
        </w:tc>
      </w:tr>
      <w:tr>
        <w:tc>
          <w:tcPr>
            <w:tcW w:type="dxa" w:w="2880"/>
          </w:tcPr>
          <w:p>
            <w:r/>
            <w:r>
              <w:t>图 4/5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outputs/figures/decomposition/decomp_stack_{DO_1_3,eff_COD}.png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decomposition_sufficiency.csv</w:t>
            </w:r>
            <w:r>
              <w:t>、</w:t>
            </w:r>
            <w:r>
              <w:rPr>
                <w:rFonts w:ascii="Consolas" w:hAnsi="Consolas" w:eastAsia="Consolas"/>
              </w:rPr>
              <w:t>val_no_leakage.csv</w:t>
            </w:r>
          </w:p>
        </w:tc>
      </w:tr>
      <w:tr>
        <w:tc>
          <w:tcPr>
            <w:tcW w:type="dxa" w:w="2880"/>
          </w:tcPr>
          <w:p>
            <w:r/>
            <w:r>
              <w:t>图 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outputs/figures/decomposition_overview/decomp_overview_ORP_2_1.png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case_studies.csv</w:t>
            </w:r>
          </w:p>
        </w:tc>
      </w:tr>
      <w:tr>
        <w:tc>
          <w:tcPr>
            <w:tcW w:type="dxa" w:w="2880"/>
          </w:tcPr>
          <w:p>
            <w:r/>
            <w:r>
              <w:t>图 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outputs/figures/combined/combined_DO.png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consistency_parallel_symmetry.csv</w:t>
            </w:r>
            <w:r>
              <w:t>、</w:t>
            </w:r>
            <w:r>
              <w:rPr>
                <w:rFonts w:ascii="Consolas" w:hAnsi="Consolas" w:eastAsia="Consolas"/>
              </w:rPr>
              <w:t>along_train_gradient.csv</w:t>
            </w:r>
          </w:p>
        </w:tc>
      </w:tr>
      <w:tr>
        <w:tc>
          <w:tcPr>
            <w:tcW w:type="dxa" w:w="2880"/>
          </w:tcPr>
          <w:p>
            <w:r/>
            <w:r>
              <w:t>图 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outputs/figures/fig_W3_acf_DO_1_3.png</w:t>
            </w:r>
            <w:r>
              <w:t>(lag 60)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whitening_before_after.csv</w:t>
            </w:r>
            <w:r>
              <w:t>、</w:t>
            </w:r>
            <w:r>
              <w:rPr>
                <w:rFonts w:ascii="Consolas" w:hAnsi="Consolas" w:eastAsia="Consolas"/>
              </w:rPr>
              <w:t>arma_garch_order_table.csv</w:t>
            </w:r>
          </w:p>
        </w:tc>
      </w:tr>
      <w:tr>
        <w:tc>
          <w:tcPr>
            <w:tcW w:type="dxa" w:w="2880"/>
          </w:tcPr>
          <w:p>
            <w:r/>
            <w:r>
              <w:t>图 8b/8c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outputs/figures/fig_W3_acf_{influent,effluent}_banded.png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residual/innovation_{influent,effluent}.parquet</w:t>
            </w:r>
          </w:p>
        </w:tc>
      </w:tr>
      <w:tr>
        <w:tc>
          <w:tcPr>
            <w:tcW w:type="dxa" w:w="2880"/>
          </w:tcPr>
          <w:p>
            <w:r/>
            <w:r>
              <w:t>图 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outputs/figures/fig_ablation_auc.png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val_ablation_auc.csv</w:t>
            </w:r>
          </w:p>
        </w:tc>
      </w:tr>
      <w:tr>
        <w:tc>
          <w:tcPr>
            <w:tcW w:type="dxa" w:w="2880"/>
          </w:tcPr>
          <w:p>
            <w:r/>
            <w:r>
              <w:t>图 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outputs/figures/combined/ribbon_{influent,effluent}.png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influent/effluent_hourly.parquet</w:t>
            </w:r>
          </w:p>
        </w:tc>
      </w:tr>
    </w:tbl>
    <w:p/>
    <w:p>
      <w:pPr>
        <w:ind w:left="432"/>
      </w:pPr>
      <w:r>
        <w:rPr>
          <w:i/>
          <w:color w:val="444444"/>
        </w:rPr>
        <w:t xml:space="preserve">所有图均可由 </w:t>
      </w:r>
      <w:r>
        <w:rPr>
          <w:rFonts w:ascii="Consolas" w:hAnsi="Consolas" w:eastAsia="Consolas"/>
          <w:i/>
          <w:color w:val="444444"/>
        </w:rPr>
        <w:t>python plot_data/replot.py</w:t>
      </w:r>
      <w:r>
        <w:rPr>
          <w:i/>
          <w:color w:val="444444"/>
        </w:rPr>
        <w:t xml:space="preserve"> 从 </w:t>
      </w:r>
      <w:r>
        <w:rPr>
          <w:rFonts w:ascii="Consolas" w:hAnsi="Consolas" w:eastAsia="Consolas"/>
          <w:i/>
          <w:color w:val="444444"/>
        </w:rPr>
        <w:t>outputs/plot_data/</w:t>
      </w:r>
      <w:r>
        <w:rPr>
          <w:i/>
          <w:color w:val="444444"/>
        </w:rPr>
        <w:t xml:space="preserve"> 数据包逐位复现(</w:t>
      </w:r>
      <w:r>
        <w:rPr>
          <w:rFonts w:ascii="Consolas" w:hAnsi="Consolas" w:eastAsia="Consolas"/>
          <w:i/>
          <w:color w:val="444444"/>
        </w:rPr>
        <w:t>fig_W*</w:t>
      </w:r>
      <w:r>
        <w:rPr>
          <w:i/>
          <w:color w:val="444444"/>
        </w:rPr>
        <w:t>/</w:t>
      </w:r>
      <w:r>
        <w:rPr>
          <w:rFonts w:ascii="Consolas" w:hAnsi="Consolas" w:eastAsia="Consolas"/>
          <w:i/>
          <w:color w:val="444444"/>
        </w:rPr>
        <w:t>fig_ablation_auc</w:t>
      </w:r>
      <w:r>
        <w:rPr>
          <w:i/>
          <w:color w:val="444444"/>
        </w:rPr>
        <w:t xml:space="preserve"> 除外,后者由本报告脚本一次性生成,可按需并入 </w:t>
      </w:r>
      <w:r>
        <w:rPr>
          <w:rFonts w:ascii="Consolas" w:hAnsi="Consolas" w:eastAsia="Consolas"/>
          <w:i/>
          <w:color w:val="444444"/>
        </w:rPr>
        <w:t>validate.py</w:t>
      </w:r>
      <w:r>
        <w:rPr>
          <w:i/>
          <w:color w:val="444444"/>
        </w:rPr>
        <w:t>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