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Regime-conditioned Ordinal Spatial Structure and Representativeness | v2.4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Scientific score released; claim-specific action gates retained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D5-LOCAL-20260727T034533Z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D5 v2.4 retains the frozen scoring implementation and adds publication-grade outer-refit, localization, coverage, complementarity and target-influence audits.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Ordinal topology is author-confirmed and inventory-reconciled. Shared family support yields 8 L3 candidates, while node validation retains 3 final L3 templates. D5_report_score contains 39,648 rows. Controlled-perturbation swap Top-1 localization is 0.70 (95% CI 0.57-0.80, n=60), so node-specific hard Veto remains disabled.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D3 covers physical value/rate constraints; D4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D5 consumes no D1-D4 score, state or event. D1/D2/D3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D5_raw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p>
      <w:r>
        <w:rPr>
          <w:rFonts w:ascii="Arial" w:hAnsi="Arial" w:eastAsia="Microsoft YaHei"/>
          <w:color w:val="25282A"/>
          <w:sz w:val="21"/>
        </w:rPr>
        <w:t>Sensitivity provenance is bound to frozen D1 release D1REL-1.3.0-cb06fed4b63a and exact D2/D3/Local artifact hashes. The Sensitivity Track remains pending_not_produced and cannot write authoritative report or gate outputs.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3.097; median 3.114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46.0%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529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15.5%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 total / D4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39648 / 19824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 aggregation ready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39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 score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14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Diagnostic only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L3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Action candidate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retains diagonal robust Z with alpha=1.00, while evidence maturity is graded independently. L2 requires effective blocks and month coverage and remains scientific-score grade (maximum holdout FAR 0.500); L3 additionally requires block-bootstrap stability and blocked holdout FAR &lt;=0.10 (observed maximum 0.066).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0.912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0.870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0.046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0.057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scientific_score_release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 1.00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sensor_veto_release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 1.00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deployment_release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manual nan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Publication audit: six-fold controlled-challenge discrimination AUROC 0.967, AUPRC 0.974, controlled-perturbation Top-1 localization 0.767; local all-scenario Top-2 0.839. Confidence-risk coverage is not monotonic, so confidence is not a calibrated sensor-Veto gate.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0.825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0.962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D4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review threshold. They cannot mutate declared topology.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Ordinal research topology is confirmed; maintenance provenance, production documentary audit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D5-to-D4 zone consensus contains 19,824 evaluable rows.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Process-coherence Guard is active for 0 pair-hours; sensor-specific hard Veto is active for 0.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D4_raw is the sole D4 numeric source; D1 and D5 contribute interpretation and action governance only.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434442"/>
            <wp:docPr id="1" name="Picture 1" descr="Figure D5-1 | Author-confirm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34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D5-1 | Author-confirmed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019214"/>
            <wp:docPr id="2" name="Picture 2" descr="Figure D5-2 | Spatiotemporal D5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19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D5-2 | Spatiotemporal D5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35851"/>
            <wp:docPr id="3" name="Picture 3" descr="Figure D5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3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42672"/>
            <wp:docPr id="4" name="Picture 4" descr="Figure D5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4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39772"/>
            <wp:docPr id="5" name="Picture 5" descr="Figure D5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D5-5 | Support, regime, topology and release governance.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313701"/>
            <wp:docPr id="6" name="Picture 6" descr="Figure D5-6 | Future-month validation, localization and evidence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6_validation_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31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D5-6 | Future-month validation, localization and evidence coverage.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854789"/>
            <wp:docPr id="7" name="Picture 7" descr="Figure D5-7 | D4-D5 complementarity and D5 robust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7_D4_D5_complementar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854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D5-7 | D4-D5 complementarity and D5 robustness.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30779"/>
            <wp:docPr id="8" name="Picture 8" descr="Figure D5-8 | Dimension-availability sensitivity of the prototype WW-DQ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8_dimension_availability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D5-8 | Dimension-availability sensitivity of the prototype WW-DQS.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510037"/>
            <wp:docPr id="9" name="Picture 9" descr="Figure D5-9 | Target-influence and support-threshold robust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9_target_support_robustn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1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D5-9 | Target-influence and support-threshold robustness.</w:t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Research topology is confirmed, but production documentary evidence and maintenance provenance are not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L1=14, L2=39, L3=3; L1 remains diagnostic only.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Controlled-perturbation swap Top-1 localization is 0.70 (95% CI 0.57-0.80) versus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529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D5 score is suitable for coverage-aware WW-DQS aggregation, but cross-dimensional manuscript freezing remains blocked until the exact D4 dependency is current. Automated plant-control deployment remains outside the present evidence scope.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Use score-eligible D5 rows with confidence-aware missing-dimension renormalization.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Use process-coherence Guard only for persistent final-L3 evidence and never report it as Veto.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controlled blocked-holdout Top-1 localization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Report availability-aware and fixed-dimension complete-evidence composites separately.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Rerun D4-D5 overlap and ablation analysis after the latest D4 merge before freezing WW-DQS weights.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Obtain documentary approval before automated deployment.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2026-08-18 10:57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v2.4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