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02124"/>
          <w:sz w:val="46"/>
        </w:rPr>
        <w:t>D1 Sensor Health</w:t>
      </w:r>
    </w:p>
    <w:p>
      <w:pPr>
        <w:spacing w:after="280"/>
      </w:pPr>
      <w:r>
        <w:rPr>
          <w:rFonts w:ascii="Calibri" w:hAnsi="Calibri" w:eastAsia="Microsoft YaHei"/>
          <w:color w:val="1F4D78"/>
          <w:sz w:val="26"/>
        </w:rPr>
        <w:t>Final causal recovery method and expert validation report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 xml:space="preserve">Algorithm: </w:t>
      </w:r>
      <w:r>
        <w:rPr>
          <w:rFonts w:ascii="Calibri" w:hAnsi="Calibri" w:eastAsia="Microsoft YaHei"/>
          <w:color w:val="202124"/>
          <w:sz w:val="21"/>
        </w:rPr>
        <w:t>1.3.0-final-candidate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 xml:space="preserve">Run ID: </w:t>
      </w:r>
      <w:r>
        <w:rPr>
          <w:rFonts w:ascii="Calibri" w:hAnsi="Calibri" w:eastAsia="Microsoft YaHei"/>
          <w:color w:val="202124"/>
          <w:sz w:val="21"/>
        </w:rPr>
        <w:t>d1-final-8fdd3599890f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 xml:space="preserve">Data scope: </w:t>
      </w:r>
      <w:r>
        <w:rPr>
          <w:rFonts w:ascii="Calibri" w:hAnsi="Calibri" w:eastAsia="Microsoft YaHei"/>
          <w:color w:val="202124"/>
          <w:sz w:val="21"/>
        </w:rPr>
        <w:t>14 DO/ORP scored channels; QR/QIR offline support only</w:t>
      </w:r>
    </w:p>
    <w:p>
      <w:pPr>
        <w:spacing w:after="40"/>
      </w:pPr>
      <w:r>
        <w:rPr>
          <w:rFonts w:ascii="Calibri" w:hAnsi="Calibri" w:eastAsia="Microsoft YaHei"/>
          <w:b/>
          <w:color w:val="202124"/>
          <w:sz w:val="21"/>
        </w:rPr>
        <w:t xml:space="preserve">Generated: </w:t>
      </w:r>
      <w:r>
        <w:rPr>
          <w:rFonts w:ascii="Calibri" w:hAnsi="Calibri" w:eastAsia="Microsoft YaHei"/>
          <w:color w:val="202124"/>
          <w:sz w:val="21"/>
        </w:rPr>
        <w:t>2026-07-21</w:t>
      </w:r>
    </w:p>
    <w:p>
      <w:pPr>
        <w:spacing w:before="80" w:after="200"/>
        <w:ind w:left="230" w:right="230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Expert decision: </w:t>
      </w:r>
      <w:r>
        <w:rPr>
          <w:rFonts w:ascii="Calibri" w:hAnsi="Calibri" w:eastAsia="Microsoft YaHei"/>
          <w:color w:val="202124"/>
          <w:sz w:val="21"/>
        </w:rPr>
        <w:t>The implementation is suitable as the locked final candidate for thesis and manuscript analyses. Its recovery claims are internally validated at the event level; diagnostic accuracy against maintenance truth remains an external-validation task.</w:t>
      </w:r>
    </w:p>
    <w:p>
      <w:pPr>
        <w:pStyle w:val="Heading1"/>
      </w:pPr>
      <w:r>
        <w:t>1. Scope and non-overlap</w:t>
      </w:r>
    </w:p>
    <w:p>
      <w:r>
        <w:t>D1 evaluates the health of each DO/ORP sensor from signal-health evidence. It is intentionally independent of D2 temporal availability, D4 physical-rate plausibility, D6 parallel-redundancy synchrony, and D7 topological representativeness. Section 1.1 provides the causal hourly preprocessing and residual basis; D2-D7 do not feed back into the D1 score.</w:t>
      </w:r>
    </w:p>
    <w:p>
      <w:pPr>
        <w:pStyle w:val="Heading1"/>
      </w:pPr>
      <w:r>
        <w:t>2. Nine finalized revisions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760"/>
        <w:gridCol w:w="4700"/>
        <w:gridCol w:w="2420"/>
      </w:tblGrid>
      <w:tr>
        <w:trPr>
          <w:tblHeader w:val="true"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#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Risk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Final resolution</w:t>
            </w:r>
          </w:p>
        </w:tc>
        <w:tc>
          <w:tcPr>
            <w:tcW w:type="dxa" w:w="2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Verification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Metric definition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Event-level direct/adapted recovery; occupancy descriptive only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Episode table + KM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Direct path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Six-hour confirmation after Refractory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Unit test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3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Candidate path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3 h entry; 12-of-18 h tolerant window; bounded soft/missing hours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Config + sensitivity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4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Duplicate regime gate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Raw W1 removed as production hard veto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Variant A/B comparison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5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New steady regime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Contextual local and peer residual evidence can authorize recovery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Stable-regime challenge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6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Residual scale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Causal channel-specific empirical noise floor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Calibration audit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7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Baseline causality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Past-only contiguous complete windows; no gap spanning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Unit test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8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Event identity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Active-episode retrigger requires independent PELT evidence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Uniqueness + conservation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Release 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Sensitivity, 14-channel challenges, hashes, source data, Nature figure QA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Release gate</w:t>
            </w:r>
          </w:p>
        </w:tc>
      </w:tr>
    </w:tbl>
    <w:p>
      <w:pPr>
        <w:spacing w:after="0"/>
      </w:pPr>
    </w:p>
    <w:p>
      <w:pPr>
        <w:pStyle w:val="Heading1"/>
      </w:pPr>
      <w:r>
        <w:t>3. Causal state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3760"/>
        <w:gridCol w:w="3760"/>
      </w:tblGrid>
      <w:tr>
        <w:trPr>
          <w:tblHeader w:val="true"/>
        </w:trPr>
        <w:tc>
          <w:tcPr>
            <w:tcW w:type="dxa" w:w="1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State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Exit logic</w:t>
            </w:r>
          </w:p>
        </w:tc>
      </w:tr>
      <w:tr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Normal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No active episode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Independent event evidence</w:t>
            </w:r>
          </w:p>
        </w:tc>
      </w:tr>
      <w:tr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Refractory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Suppress immediate drift reinterpretation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Direct recovery or baseline assessment</w:t>
            </w:r>
          </w:p>
        </w:tc>
      </w:tr>
      <w:tr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BaselinePending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Wait for a causal stable local window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Stable baseline or continued pending</w:t>
            </w:r>
          </w:p>
        </w:tc>
      </w:tr>
      <w:tr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SustainedAnomaly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Adapt within a persistent departure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Three consecutive recovery-gate passes</w:t>
            </w:r>
          </w:p>
        </w:tc>
      </w:tr>
      <w:tr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RecoveryCandidate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Accumulate tolerant 12-of-18 h evidence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Recovered or retry cooldown</w:t>
            </w:r>
          </w:p>
        </w:tc>
      </w:tr>
      <w:tr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Recovered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Monitor for 24 h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Normal or relapse</w:t>
            </w:r>
          </w:p>
        </w:tc>
      </w:tr>
    </w:tbl>
    <w:p>
      <w:pPr>
        <w:spacing w:after="0"/>
      </w:pPr>
    </w:p>
    <w:p>
      <w:r>
        <w:t>PELT evidence has an explicit availability time and signed magnitude. A new event ID cannot be created merely because a statistic fluctuates during an existing episode.</w:t>
      </w:r>
    </w:p>
    <w:p>
      <w:pPr>
        <w:pStyle w:val="Heading1"/>
      </w:pPr>
      <w:r>
        <w:t>4. Formal run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Metric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Interpretation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Unique episodes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22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Opened event IDs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Direct recovery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Cleared after Refractory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Adapted recovery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6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Recovered via local contextual baseline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Superseded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Independent new event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Right-censored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Incomplete end-of-record follow-up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Event recovery rate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0.9545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Recovered / completed episodes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95% Wilson interval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0.7820-0.9919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Sampling uncertainty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Median recovery time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53 h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Event onset to confirmation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Recovered occupancy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0.21%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Observation-state occupancy, not recovery rate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Transition conservation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PASS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22 opened = 22 episode records; no duplicate IDs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Recovery evidence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04905"/>
            <wp:docPr id="1" name="Picture 1" title="FigV19_recovery_validation.png" descr="Figure V19. Event outcomes, recovery-time distribution, natural-data sensitivity, and controlled mechanism challenge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V19_recovery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Figure V19. Event outcomes, recovery-time distribution, natural-data sensitivity, and controlled mechanism challenge results.</w:t>
      </w:r>
    </w:p>
    <w:p>
      <w:r>
        <w:t>The low Recovered-state occupancy is expected because Recovered is a bounded 24 h observation state. It must not be interpreted as the proportion of successfully recovered events.</w:t>
      </w:r>
    </w:p>
    <w:p>
      <w:r>
        <w:br w:type="page"/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05448"/>
            <wp:docPr id="2" name="Picture 2" title="FigV20_adapted_recovery_case.png" descr="Figure V20. Representative adapted recovery after a persistent regime departure, including quality gates, independent residual evidence, and the causal state pa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V20_adapted_recovery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Figure V20. Representative adapted recovery after a persistent regime departure, including quality gates, independent residual evidence, and the causal state path.</w:t>
      </w:r>
    </w:p>
    <w:p>
      <w:pPr>
        <w:pStyle w:val="Heading1"/>
      </w:pPr>
      <w:r>
        <w:t>6. Sensitivity and selected production rule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0"/>
        <w:gridCol w:w="1340"/>
        <w:gridCol w:w="1100"/>
        <w:gridCol w:w="1420"/>
        <w:gridCol w:w="1320"/>
        <w:gridCol w:w="1320"/>
      </w:tblGrid>
      <w:tr>
        <w:trPr>
          <w:tblHeader w:val="true"/>
        </w:trPr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Variant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Event recovery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Attempts</w:t>
            </w:r>
          </w:p>
        </w:tc>
        <w:tc>
          <w:tcPr>
            <w:tcW w:type="dxa" w:w="1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Confirmation</w:t>
            </w:r>
          </w:p>
        </w:tc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Completed</w:t>
            </w:r>
          </w:p>
        </w:tc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Censored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A_legacy_gate_corrected_engine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0.947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14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0.286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19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B_remove_duplicate_W1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0.957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26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0.308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23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C_tolerant_3h_retry12h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0.955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39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0.333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22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D_hysteresis_6h_retry24h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0.955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22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0.636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22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before="80" w:after="200"/>
        <w:ind w:left="230" w:right="230"/>
        <w:shd w:fill="F2F4F7"/>
      </w:pPr>
      <w:r>
        <w:rPr>
          <w:rFonts w:ascii="Calibri" w:hAnsi="Calibri" w:eastAsia="Microsoft YaHei"/>
          <w:b/>
          <w:color w:val="1F4D78"/>
          <w:sz w:val="21"/>
        </w:rPr>
        <w:t xml:space="preserve">Production selection: </w:t>
      </w:r>
      <w:r>
        <w:rPr>
          <w:rFonts w:ascii="Calibri" w:hAnsi="Calibri" w:eastAsia="Microsoft YaHei"/>
          <w:color w:val="202124"/>
          <w:sz w:val="21"/>
        </w:rPr>
        <w:t>Variant C passed 4/4 challenge classes across 14 channel-scaled templates with a pass rate of 1.00 in every class. Variant D was not selected because its longer entry and confirmation windows reduced candidate responsiveness without improving event recovery or controlled challenge outcomes.</w:t>
      </w:r>
    </w:p>
    <w:p>
      <w:pPr>
        <w:pStyle w:val="Heading1"/>
      </w:pPr>
      <w:r>
        <w:t>7. Detector calibration, routing, and peer selection</w:t>
      </w:r>
    </w:p>
    <w:p>
      <w:r>
        <w:t>The Step mapping is synchronized across mapping.yaml, the figure generator, and D1_mapping_params.xlsx: logistic k=16.0 and x0=0.55. The final D1 mean is 4.245 versus 4.254 for STRICT V1. Conservative caps apply only during causally defined non-normal states.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40"/>
        <w:gridCol w:w="372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Component</w:t>
            </w:r>
          </w:p>
        </w:tc>
        <w:tc>
          <w:tcPr>
            <w:tcW w:type="dxa" w:w="37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Final rule</w:t>
            </w:r>
          </w:p>
        </w:tc>
        <w:tc>
          <w:tcPr>
            <w:tcW w:type="dxa" w:w="3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Audit evidence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DO_1_4 freeze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Process-floor route; production Q_freeze uses hard RLE only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Low variance and low uniqueness remain diagnostic fields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Step mapping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k=16.0; x0=0.55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10 iid channels; 780 scenarios; detection=0.867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Step applicability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Autocorrelation-aware and floor routes excluded from parameter fit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Theoretical corrected-KS bound retained in the audit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PLS peers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Forward blocks + block bootstrap + terminal test + four injection classes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DO_2_4 retains DO_2_3 (1 component); M1,1 median gain=-5.35% (95% CI -16.65% to 0.51%); terminal gain=-19.43%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ORP_1_2 platform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State cap retained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Fig. 7 exposes pre-cap score, cap-active hours, and final score</w:t>
            </w:r>
          </w:p>
        </w:tc>
      </w:tr>
    </w:tbl>
    <w:p>
      <w:pPr>
        <w:spacing w:after="0"/>
      </w:pPr>
    </w:p>
    <w:p>
      <w:r>
        <w:t>The PLS selector preserves a valid one-peer topology core and reports limited redundancy explicitly. It does not fill sparse peer sets by lexical order or with distant/cross-train channels. This removes the previous unsupported DO_2_4 links to DO_1_1 and DO_1_2. DO_2_3 is the structural core; DO_2_2 was evaluated as the only defensible second-order candidate but was not admitted. The one-component candidate had development and terminal-test gains of -5.35% and -19.43%, respectively; the two-component candidate was still weaker (-19.50% development gain). The formal decision is core_retained.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26450"/>
            <wp:docPr id="3" name="Picture 3" title="Fig5_mapping_curves.png" descr="Figure 5. Final D1 mapping functions. The Step panel reports k=16.0 and x0=0.5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app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2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Figure 5. Final D1 mapping functions. The Step panel reports k=16.0 and x0=0.55.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37706"/>
            <wp:docPr id="4" name="Picture 4" title="Fig6_score_loss_attribution.png" descr="Figure 6. Exact pre-cap score-loss attribution and absolute severe-evidence frequen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core_loss_at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3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Figure 6. Exact pre-cap score-loss attribution and absolute severe-evidence frequency.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94381"/>
            <wp:docPr id="5" name="Picture 5" title="Fig9_input_routing_audit.png" descr="Figure 9. Section 1.1-to-D1 input routing, whitening effect, and Step applicabi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input_routing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Figure 9. Section 1.1-to-D1 input routing, whitening effect, and Step applicability.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71328"/>
            <wp:docPr id="6" name="Picture 6" title="Fig11_pls_peer_selection.png" descr="Figure 11. DO_2_4 PLS peer-admission evidence. Panels report forward-block gains, median and 95% moving-block-bootstrap intervals, positive-gain fractions, P90 tail error, terminal 42-day hold-out results, and controlled target/peer/common-process injections. The topology core M0 is retai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ls_peer_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368"/>
          <w:sz w:val="18"/>
        </w:rPr>
        <w:t>Figure 11. DO_2_4 PLS peer-admission evidence. Panels report forward-block gains, median and 95% moving-block-bootstrap intervals, positive-gain fractions, P90 tail error, terminal 42-day hold-out results, and controlled target/peer/common-process injections. The topology core M0 is retained.</w:t>
      </w:r>
    </w:p>
    <w:p>
      <w:pPr>
        <w:pStyle w:val="Heading1"/>
      </w:pPr>
      <w:r>
        <w:t>8. Reproducibility and release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1700"/>
        <w:gridCol w:w="56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Gate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Evidence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Unit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PASS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Causality, routing, mapping calibration, peer selection, recovery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Transition audit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PASS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All opened episodes accounted; all terminal or censored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Excel audit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PASS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18 core / 20 total workbooks open; no error-cell tokens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Figure bundle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20/20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SVG/PDF/600 dpi PNG/TIFF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Nature skill audit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0 failed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Editable SVG text; Arial declared; sources fresh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Run trace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d1-final-8fdd3599890f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Dependency SHA256 hashes in run manifest</w:t>
            </w:r>
          </w:p>
        </w:tc>
      </w:tr>
    </w:tbl>
    <w:p>
      <w:pPr>
        <w:spacing w:after="0"/>
      </w:pPr>
    </w:p>
    <w:p>
      <w:pPr>
        <w:pStyle w:val="Heading1"/>
      </w:pPr>
      <w:r>
        <w:t>9. Publication interpretation and limitations</w:t>
      </w:r>
    </w:p>
    <w:p>
      <w:r>
        <w:t>The internal event recovery rate is not a labelled sensitivity/specificity estimate. No independently adjudicated maintenance or sensor-fault truth set is available. Controlled injections validate the recovery mechanism but do not replace an end-to-end detector benchmark under external sites, seasons, or maintenance interventions. The manuscript should report the Wilson interval, relapse rates, and these limitations.</w:t>
      </w:r>
    </w:p>
    <w:p>
      <w:r>
        <w:t>Recommended external validation: blind maintenance-log adjudication; site-held-out evaluation; stratification by sensor type and operating regime; and prospective analysis of recovery time, false recovery, and relapse.</w:t>
      </w:r>
    </w:p>
    <w:p>
      <w:pPr>
        <w:pStyle w:val="Heading1"/>
      </w:pPr>
      <w:r>
        <w:t>Appendix A. Authoritative artifacts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Path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Configuration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configs/state_machine.yaml; configs/mapping.yaml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Formal state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v11_state.pkl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Run manifest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outputs/logs/D1_run_manifest.json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Recovery audit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outputs/data/D1_recovery_event_audit.xlsx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Sensitivity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outputs/data/D1_recovery_validation.xlsx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Step calibration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outputs/data/D1_step_mapping_calibration.xlsx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Figure source 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outputs/plot_data/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Figure QA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124"/>
                <w:sz w:val="17"/>
              </w:rPr>
              <w:t>outputs/qa/figures/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368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5F6368"/>
        <w:sz w:val="16"/>
      </w:rPr>
      <w:t>D1 Sensor Health | Final technical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 Sensor Health final expert report</dc:title>
  <dc:subject>d1-final-8fdd3599890f</dc:subject>
  <dc:creator>D1 Data Quality Assessment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